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b w:val="0"/>
          <w:bCs/>
          <w:color w:val="auto"/>
          <w:sz w:val="32"/>
          <w:szCs w:val="32"/>
          <w:lang w:val="en-US" w:eastAsia="zh-CN"/>
        </w:rPr>
      </w:pPr>
    </w:p>
    <w:p>
      <w:pPr>
        <w:jc w:val="center"/>
        <w:rPr>
          <w:rFonts w:hint="eastAsia" w:ascii="宋体" w:hAnsi="宋体"/>
          <w:b/>
          <w:color w:val="auto"/>
          <w:sz w:val="36"/>
          <w:szCs w:val="36"/>
        </w:rPr>
      </w:pPr>
      <w:r>
        <w:rPr>
          <w:rFonts w:hint="eastAsia" w:ascii="宋体" w:hAnsi="宋体"/>
          <w:b/>
          <w:color w:val="auto"/>
          <w:sz w:val="36"/>
          <w:szCs w:val="36"/>
          <w:lang w:eastAsia="zh-CN"/>
        </w:rPr>
        <w:t>淮北市社会事务服务中心202</w:t>
      </w:r>
      <w:r>
        <w:rPr>
          <w:rFonts w:hint="eastAsia" w:ascii="宋体" w:hAnsi="宋体"/>
          <w:b/>
          <w:color w:val="auto"/>
          <w:sz w:val="36"/>
          <w:szCs w:val="36"/>
          <w:lang w:val="en-US" w:eastAsia="zh-CN"/>
        </w:rPr>
        <w:t>2</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pPr>
        <w:jc w:val="center"/>
        <w:rPr>
          <w:rFonts w:hint="eastAsia" w:ascii="楷体_GB2312" w:eastAsia="楷体_GB2312"/>
          <w:color w:val="auto"/>
          <w:szCs w:val="32"/>
        </w:rPr>
      </w:pPr>
    </w:p>
    <w:p>
      <w:pPr>
        <w:rPr>
          <w:rFonts w:hint="eastAsia" w:ascii="黑体" w:hAnsi="黑体" w:eastAsia="黑体"/>
          <w:color w:val="auto"/>
          <w:szCs w:val="32"/>
        </w:rPr>
      </w:pPr>
      <w:r>
        <w:rPr>
          <w:rFonts w:hint="eastAsia" w:ascii="黑体" w:hAnsi="黑体" w:eastAsia="黑体"/>
          <w:color w:val="auto"/>
          <w:szCs w:val="32"/>
          <w:lang w:val="en-US" w:eastAsia="zh-CN"/>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hint="eastAsia" w:ascii="黑体" w:hAnsi="黑体" w:eastAsia="黑体"/>
          <w:color w:val="auto"/>
          <w:szCs w:val="32"/>
        </w:rPr>
        <w:t>年度一般公共预算财政拨款“三公”经费支出决算表</w:t>
      </w:r>
    </w:p>
    <w:p>
      <w:pPr>
        <w:ind w:firstLine="7353" w:firstLineChars="2298"/>
        <w:rPr>
          <w:rFonts w:hint="eastAsia" w:ascii="黑体" w:hAnsi="黑体" w:eastAsia="黑体"/>
          <w:color w:val="auto"/>
          <w:szCs w:val="32"/>
        </w:rPr>
      </w:pPr>
      <w:r>
        <w:rPr>
          <w:rFonts w:hint="eastAsia" w:ascii="仿宋_GB2312" w:hAnsi="仿宋_GB2312" w:cs="仿宋_GB2312"/>
          <w:color w:val="auto"/>
          <w:szCs w:val="32"/>
        </w:rPr>
        <w:t>单位：万元</w:t>
      </w:r>
    </w:p>
    <w:tbl>
      <w:tblPr>
        <w:tblStyle w:val="2"/>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仿宋_GB2312" w:cs="宋体"/>
                <w:b/>
                <w:bCs/>
                <w:color w:val="auto"/>
                <w:kern w:val="0"/>
                <w:szCs w:val="21"/>
                <w:lang w:val="en-US" w:eastAsia="zh-CN"/>
              </w:rPr>
            </w:pPr>
            <w:r>
              <w:rPr>
                <w:rFonts w:hint="eastAsia" w:ascii="宋体" w:hAnsi="宋体" w:cs="宋体"/>
                <w:b/>
                <w:bCs/>
                <w:color w:val="auto"/>
                <w:kern w:val="0"/>
                <w:szCs w:val="21"/>
              </w:rPr>
              <w:t>　</w:t>
            </w:r>
          </w:p>
        </w:tc>
        <w:tc>
          <w:tcPr>
            <w:tcW w:w="22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仿宋_GB2312" w:cs="宋体"/>
                <w:b/>
                <w:bCs/>
                <w:color w:val="auto"/>
                <w:kern w:val="0"/>
                <w:szCs w:val="21"/>
                <w:lang w:val="en-US" w:eastAsia="zh-CN"/>
              </w:rPr>
            </w:pP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pPr>
        <w:ind w:firstLine="643"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pPr>
        <w:ind w:firstLine="640" w:firstLineChars="200"/>
        <w:rPr>
          <w:rFonts w:hint="eastAsia" w:ascii="楷体_GB2312" w:hAnsi="仿宋" w:eastAsia="仿宋_GB2312"/>
          <w:color w:val="auto"/>
          <w:szCs w:val="32"/>
          <w:lang w:eastAsia="zh-CN"/>
        </w:rPr>
      </w:pPr>
      <w:r>
        <w:rPr>
          <w:rFonts w:hint="eastAsia" w:ascii="仿宋_GB2312" w:hAnsi="仿宋"/>
          <w:color w:val="auto"/>
          <w:szCs w:val="32"/>
          <w:lang w:eastAsia="zh-CN"/>
        </w:rPr>
        <w:t>淮北市社会事务服务中心2022</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0</w:t>
      </w:r>
      <w:r>
        <w:rPr>
          <w:rFonts w:hint="eastAsia" w:ascii="仿宋_GB2312" w:hAnsi="仿宋"/>
          <w:color w:val="auto"/>
          <w:szCs w:val="32"/>
        </w:rPr>
        <w:t>万元，支出决算为</w:t>
      </w:r>
      <w:r>
        <w:rPr>
          <w:rFonts w:hint="eastAsia" w:ascii="仿宋_GB2312" w:hAnsi="仿宋"/>
          <w:color w:val="auto"/>
          <w:szCs w:val="32"/>
          <w:lang w:val="en-US" w:eastAsia="zh-CN"/>
        </w:rPr>
        <w:t>0</w:t>
      </w:r>
      <w:r>
        <w:rPr>
          <w:rFonts w:hint="eastAsia" w:ascii="仿宋_GB2312" w:hAnsi="仿宋"/>
          <w:color w:val="auto"/>
          <w:szCs w:val="32"/>
        </w:rPr>
        <w:t>万元，完成预算的</w:t>
      </w:r>
      <w:r>
        <w:rPr>
          <w:rFonts w:hint="eastAsia" w:ascii="仿宋_GB2312" w:hAnsi="仿宋"/>
          <w:color w:val="auto"/>
          <w:szCs w:val="32"/>
          <w:lang w:val="en-US" w:eastAsia="zh-CN"/>
        </w:rPr>
        <w:t>100.0</w:t>
      </w:r>
      <w:r>
        <w:rPr>
          <w:rFonts w:hint="eastAsia" w:ascii="仿宋_GB2312" w:hAnsi="仿宋"/>
          <w:color w:val="auto"/>
          <w:szCs w:val="32"/>
        </w:rPr>
        <w:t>%，</w:t>
      </w:r>
      <w:r>
        <w:rPr>
          <w:rFonts w:hint="eastAsia" w:ascii="仿宋_GB2312" w:hAnsi="仿宋" w:eastAsia="仿宋_GB2312"/>
          <w:sz w:val="30"/>
          <w:szCs w:val="30"/>
          <w:lang w:eastAsia="zh-CN"/>
        </w:rPr>
        <w:t>决算数与预算数相同</w:t>
      </w:r>
      <w:r>
        <w:rPr>
          <w:rFonts w:hint="eastAsia" w:ascii="仿宋_GB2312" w:hAnsi="仿宋"/>
          <w:sz w:val="30"/>
          <w:szCs w:val="30"/>
          <w:lang w:eastAsia="zh-CN"/>
        </w:rPr>
        <w:t>，</w:t>
      </w:r>
      <w:r>
        <w:rPr>
          <w:rFonts w:hint="eastAsia" w:ascii="仿宋_GB2312" w:hAnsi="仿宋"/>
          <w:color w:val="auto"/>
          <w:szCs w:val="32"/>
          <w:u w:val="none"/>
          <w:lang w:eastAsia="zh-CN"/>
        </w:rPr>
        <w:t>较上年</w:t>
      </w:r>
      <w:r>
        <w:rPr>
          <w:rFonts w:hint="eastAsia" w:ascii="仿宋_GB2312" w:hAnsi="仿宋"/>
          <w:color w:val="auto"/>
          <w:szCs w:val="32"/>
          <w:u w:val="none"/>
          <w:lang w:val="en-US" w:eastAsia="zh-CN"/>
        </w:rPr>
        <w:t>持平</w:t>
      </w:r>
      <w:r>
        <w:rPr>
          <w:rFonts w:hint="eastAsia" w:ascii="仿宋_GB2312" w:hAnsi="仿宋"/>
          <w:color w:val="auto"/>
          <w:szCs w:val="32"/>
          <w:u w:val="none"/>
        </w:rPr>
        <w:t>。</w:t>
      </w:r>
    </w:p>
    <w:p>
      <w:pPr>
        <w:ind w:firstLine="643"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淮北市社会事务服务中心202</w:t>
      </w:r>
      <w:r>
        <w:rPr>
          <w:rFonts w:hint="eastAsia" w:ascii="仿宋_GB2312" w:hAnsi="仿宋"/>
          <w:color w:val="auto"/>
          <w:szCs w:val="32"/>
          <w:lang w:val="en-US" w:eastAsia="zh-CN"/>
        </w:rPr>
        <w:t>2</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万元;公务接待费支出决算</w:t>
      </w:r>
      <w:r>
        <w:rPr>
          <w:rFonts w:hint="eastAsia" w:ascii="仿宋_GB2312" w:hAnsi="仿宋"/>
          <w:color w:val="auto"/>
          <w:szCs w:val="32"/>
          <w:lang w:val="en-US" w:eastAsia="zh-CN"/>
        </w:rPr>
        <w:t>0</w:t>
      </w:r>
      <w:r>
        <w:rPr>
          <w:rFonts w:hint="eastAsia" w:ascii="仿宋_GB2312" w:hAnsi="仿宋"/>
          <w:color w:val="auto"/>
          <w:szCs w:val="32"/>
        </w:rPr>
        <w:t>万元；公务用车购置及运行维护费支出决算</w:t>
      </w:r>
      <w:r>
        <w:rPr>
          <w:rFonts w:hint="eastAsia" w:ascii="仿宋_GB2312" w:hAnsi="仿宋"/>
          <w:color w:val="auto"/>
          <w:szCs w:val="32"/>
          <w:lang w:val="en-US" w:eastAsia="zh-CN"/>
        </w:rPr>
        <w:t>0</w:t>
      </w:r>
      <w:r>
        <w:rPr>
          <w:rFonts w:hint="eastAsia" w:ascii="仿宋_GB2312" w:hAnsi="仿宋"/>
          <w:color w:val="auto"/>
          <w:szCs w:val="32"/>
        </w:rPr>
        <w:t>万元。具体情况如下：</w:t>
      </w:r>
    </w:p>
    <w:p>
      <w:pPr>
        <w:ind w:firstLine="643" w:firstLineChars="200"/>
        <w:rPr>
          <w:rFonts w:hint="eastAsia" w:ascii="仿宋_GB2312" w:hAnsi="仿宋"/>
          <w:color w:val="auto"/>
          <w:szCs w:val="32"/>
        </w:rPr>
      </w:pPr>
      <w:r>
        <w:rPr>
          <w:rFonts w:hint="eastAsia" w:ascii="仿宋_GB2312" w:hAnsi="仿宋"/>
          <w:b/>
          <w:bCs/>
          <w:color w:val="auto"/>
          <w:szCs w:val="32"/>
        </w:rPr>
        <w:t>1.因公出国（境）费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万元，支出决算为XX</w:t>
      </w:r>
      <w:r>
        <w:rPr>
          <w:rFonts w:hint="eastAsia" w:ascii="仿宋_GB2312" w:hAnsi="仿宋"/>
          <w:color w:val="auto"/>
          <w:szCs w:val="32"/>
          <w:lang w:val="en-US" w:eastAsia="zh-CN"/>
        </w:rPr>
        <w:t>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100.0</w:t>
      </w:r>
      <w:r>
        <w:rPr>
          <w:rFonts w:hint="eastAsia" w:ascii="仿宋_GB2312" w:hAnsi="仿宋"/>
          <w:color w:val="auto"/>
          <w:szCs w:val="32"/>
          <w:lang w:eastAsia="zh-CN"/>
        </w:rPr>
        <w:t>%，</w:t>
      </w:r>
      <w:r>
        <w:rPr>
          <w:rFonts w:hint="eastAsia" w:ascii="仿宋_GB2312" w:hAnsi="仿宋" w:eastAsia="仿宋_GB2312"/>
          <w:sz w:val="30"/>
          <w:szCs w:val="30"/>
          <w:lang w:eastAsia="zh-CN"/>
        </w:rPr>
        <w:t>决算数与预算数相同；</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w:t>
      </w:r>
      <w:r>
        <w:rPr>
          <w:rFonts w:hint="eastAsia" w:ascii="仿宋_GB2312" w:hAnsi="仿宋"/>
          <w:color w:val="auto"/>
          <w:szCs w:val="32"/>
          <w:u w:val="none"/>
        </w:rPr>
        <w:t>原因是</w:t>
      </w:r>
      <w:r>
        <w:rPr>
          <w:rFonts w:hint="eastAsia" w:ascii="仿宋_GB2312" w:hAnsi="仿宋" w:eastAsia="仿宋_GB2312"/>
          <w:sz w:val="30"/>
          <w:szCs w:val="30"/>
          <w:lang w:val="en-US" w:eastAsia="zh-CN"/>
        </w:rPr>
        <w:t>2021年度、</w:t>
      </w:r>
      <w:r>
        <w:rPr>
          <w:rFonts w:hint="eastAsia" w:ascii="仿宋_GB2312" w:hAnsi="仿宋" w:eastAsia="仿宋_GB2312"/>
          <w:sz w:val="30"/>
          <w:szCs w:val="30"/>
          <w:lang w:eastAsia="zh-CN"/>
        </w:rPr>
        <w:t>202</w:t>
      </w:r>
      <w:r>
        <w:rPr>
          <w:rFonts w:hint="eastAsia" w:ascii="仿宋_GB2312" w:hAnsi="仿宋" w:eastAsia="仿宋_GB2312"/>
          <w:sz w:val="30"/>
          <w:szCs w:val="30"/>
          <w:lang w:val="en-US" w:eastAsia="zh-CN"/>
        </w:rPr>
        <w:t>2</w:t>
      </w:r>
      <w:r>
        <w:rPr>
          <w:rFonts w:hint="eastAsia" w:ascii="仿宋_GB2312" w:hAnsi="仿宋" w:eastAsia="仿宋_GB2312"/>
          <w:sz w:val="30"/>
          <w:szCs w:val="30"/>
        </w:rPr>
        <w:t>年度</w:t>
      </w:r>
      <w:r>
        <w:rPr>
          <w:rFonts w:hint="eastAsia" w:ascii="仿宋_GB2312" w:hAnsi="仿宋" w:eastAsia="仿宋_GB2312"/>
          <w:sz w:val="30"/>
          <w:szCs w:val="30"/>
          <w:lang w:eastAsia="zh-CN"/>
        </w:rPr>
        <w:t>均</w:t>
      </w:r>
      <w:r>
        <w:rPr>
          <w:rFonts w:hint="eastAsia" w:ascii="仿宋_GB2312" w:hAnsi="仿宋" w:eastAsia="仿宋_GB2312"/>
          <w:sz w:val="30"/>
          <w:szCs w:val="30"/>
        </w:rPr>
        <w:t>未安排因公出国（境）计划</w:t>
      </w:r>
      <w:r>
        <w:rPr>
          <w:rFonts w:hint="eastAsia" w:ascii="仿宋_GB2312" w:hAnsi="仿宋"/>
          <w:color w:val="auto"/>
          <w:szCs w:val="32"/>
          <w:u w:val="none"/>
        </w:rPr>
        <w:t>。</w:t>
      </w:r>
      <w:r>
        <w:rPr>
          <w:rFonts w:hint="eastAsia" w:ascii="仿宋_GB2312" w:hAnsi="仿宋"/>
          <w:color w:val="auto"/>
          <w:szCs w:val="32"/>
          <w:u w:val="none"/>
          <w:lang w:val="en-US" w:eastAsia="zh-CN"/>
        </w:rPr>
        <w:t>故</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w:t>
      </w:r>
      <w:r>
        <w:rPr>
          <w:rFonts w:hint="eastAsia" w:ascii="仿宋_GB2312" w:hAnsi="仿宋"/>
          <w:color w:val="auto"/>
          <w:szCs w:val="32"/>
          <w:lang w:eastAsia="zh-CN"/>
        </w:rPr>
        <w:t>淮北市社会事务服务中心</w:t>
      </w:r>
      <w:r>
        <w:rPr>
          <w:rFonts w:hint="eastAsia" w:ascii="仿宋_GB2312" w:hAnsi="仿宋"/>
          <w:color w:val="auto"/>
          <w:szCs w:val="32"/>
        </w:rPr>
        <w:t>因公出国（境）团组</w:t>
      </w:r>
      <w:r>
        <w:rPr>
          <w:rFonts w:hint="eastAsia" w:ascii="仿宋_GB2312" w:hAnsi="仿宋"/>
          <w:color w:val="auto"/>
          <w:szCs w:val="32"/>
          <w:lang w:val="en-US" w:eastAsia="zh-CN"/>
        </w:rPr>
        <w:t>0</w:t>
      </w:r>
      <w:r>
        <w:rPr>
          <w:rFonts w:hint="eastAsia" w:ascii="仿宋_GB2312" w:hAnsi="仿宋"/>
          <w:color w:val="auto"/>
          <w:szCs w:val="32"/>
        </w:rPr>
        <w:t>次，累计出国（境）</w:t>
      </w:r>
      <w:r>
        <w:rPr>
          <w:rFonts w:hint="eastAsia" w:ascii="仿宋_GB2312" w:hAnsi="仿宋"/>
          <w:color w:val="auto"/>
          <w:szCs w:val="32"/>
          <w:lang w:val="en-US" w:eastAsia="zh-CN"/>
        </w:rPr>
        <w:t>0</w:t>
      </w:r>
      <w:r>
        <w:rPr>
          <w:rFonts w:hint="eastAsia" w:ascii="仿宋_GB2312" w:hAnsi="仿宋"/>
          <w:color w:val="auto"/>
          <w:szCs w:val="32"/>
        </w:rPr>
        <w:t>人次。</w:t>
      </w:r>
    </w:p>
    <w:p>
      <w:pPr>
        <w:ind w:firstLine="643" w:firstLineChars="200"/>
        <w:rPr>
          <w:rFonts w:hint="eastAsia" w:ascii="仿宋_GB2312" w:hAnsi="仿宋"/>
          <w:color w:val="auto"/>
          <w:szCs w:val="32"/>
          <w:u w:val="none"/>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100.0</w:t>
      </w:r>
      <w:r>
        <w:rPr>
          <w:rFonts w:hint="eastAsia" w:ascii="仿宋_GB2312" w:hAnsi="仿宋"/>
          <w:color w:val="auto"/>
          <w:szCs w:val="32"/>
          <w:lang w:eastAsia="zh-CN"/>
        </w:rPr>
        <w:t>%，</w:t>
      </w:r>
      <w:r>
        <w:rPr>
          <w:rFonts w:hint="eastAsia" w:ascii="仿宋_GB2312" w:hAnsi="仿宋" w:eastAsia="仿宋_GB2312"/>
          <w:sz w:val="30"/>
          <w:szCs w:val="30"/>
          <w:lang w:eastAsia="zh-CN"/>
        </w:rPr>
        <w:t>决算数与预算数相同</w:t>
      </w:r>
      <w:r>
        <w:rPr>
          <w:rFonts w:hint="eastAsia" w:ascii="仿宋_GB2312" w:hAnsi="仿宋"/>
          <w:color w:val="auto"/>
          <w:szCs w:val="32"/>
          <w:lang w:eastAsia="zh-CN"/>
        </w:rPr>
        <w:t>；</w:t>
      </w:r>
      <w:r>
        <w:rPr>
          <w:rFonts w:hint="eastAsia" w:ascii="仿宋_GB2312" w:hAnsi="仿宋"/>
          <w:color w:val="auto"/>
          <w:szCs w:val="32"/>
          <w:u w:val="none"/>
          <w:lang w:eastAsia="zh-CN"/>
        </w:rPr>
        <w:t>较上年</w:t>
      </w:r>
      <w:r>
        <w:rPr>
          <w:rFonts w:hint="eastAsia" w:ascii="仿宋_GB2312" w:hAnsi="仿宋"/>
          <w:color w:val="auto"/>
          <w:szCs w:val="32"/>
          <w:u w:val="none"/>
          <w:lang w:val="en-US" w:eastAsia="zh-CN"/>
        </w:rPr>
        <w:t>持平</w:t>
      </w:r>
      <w:r>
        <w:rPr>
          <w:rFonts w:hint="eastAsia" w:ascii="仿宋_GB2312" w:hAnsi="仿宋"/>
          <w:color w:val="auto"/>
          <w:szCs w:val="32"/>
          <w:u w:val="none"/>
        </w:rPr>
        <w:t>。</w:t>
      </w:r>
    </w:p>
    <w:p>
      <w:pPr>
        <w:ind w:firstLine="643" w:firstLineChars="200"/>
        <w:rPr>
          <w:rFonts w:hint="eastAsia" w:ascii="仿宋_GB2312" w:eastAsia="仿宋_GB2312"/>
          <w:color w:val="auto"/>
          <w:sz w:val="32"/>
        </w:rPr>
      </w:pPr>
      <w:bookmarkStart w:id="0" w:name="_GoBack"/>
      <w:bookmarkEnd w:id="0"/>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 xml:space="preserve">  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100.0</w:t>
      </w:r>
      <w:r>
        <w:rPr>
          <w:rFonts w:hint="eastAsia" w:ascii="仿宋_GB2312" w:hAnsi="仿宋"/>
          <w:color w:val="auto"/>
          <w:szCs w:val="32"/>
          <w:lang w:eastAsia="zh-CN"/>
        </w:rPr>
        <w:t>%，</w:t>
      </w:r>
      <w:r>
        <w:rPr>
          <w:rFonts w:hint="eastAsia" w:ascii="仿宋_GB2312" w:hAnsi="仿宋" w:eastAsia="仿宋_GB2312"/>
          <w:sz w:val="30"/>
          <w:szCs w:val="30"/>
          <w:lang w:eastAsia="zh-CN"/>
        </w:rPr>
        <w:t>决算数与预算数相同</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w:t>
      </w:r>
      <w:r>
        <w:rPr>
          <w:rFonts w:hint="eastAsia" w:ascii="仿宋_GB2312" w:hAnsi="仿宋"/>
          <w:color w:val="auto"/>
          <w:szCs w:val="32"/>
          <w:u w:val="none"/>
        </w:rPr>
        <w:t>原因是</w:t>
      </w:r>
      <w:r>
        <w:rPr>
          <w:rFonts w:hint="eastAsia" w:ascii="仿宋_GB2312" w:hAnsi="仿宋" w:eastAsia="仿宋_GB2312"/>
          <w:sz w:val="30"/>
          <w:szCs w:val="30"/>
          <w:lang w:val="en-US" w:eastAsia="zh-CN"/>
        </w:rPr>
        <w:t>2021年度、</w:t>
      </w:r>
      <w:r>
        <w:rPr>
          <w:rFonts w:hint="eastAsia" w:ascii="仿宋_GB2312" w:hAnsi="仿宋" w:eastAsia="仿宋_GB2312"/>
          <w:sz w:val="30"/>
          <w:szCs w:val="30"/>
          <w:lang w:eastAsia="zh-CN"/>
        </w:rPr>
        <w:t>202</w:t>
      </w:r>
      <w:r>
        <w:rPr>
          <w:rFonts w:hint="eastAsia" w:ascii="仿宋_GB2312" w:hAnsi="仿宋" w:eastAsia="仿宋_GB2312"/>
          <w:sz w:val="30"/>
          <w:szCs w:val="30"/>
          <w:lang w:val="en-US" w:eastAsia="zh-CN"/>
        </w:rPr>
        <w:t>2</w:t>
      </w:r>
      <w:r>
        <w:rPr>
          <w:rFonts w:hint="eastAsia" w:ascii="仿宋_GB2312" w:hAnsi="仿宋" w:eastAsia="仿宋_GB2312"/>
          <w:sz w:val="30"/>
          <w:szCs w:val="30"/>
        </w:rPr>
        <w:t>年度</w:t>
      </w:r>
      <w:r>
        <w:rPr>
          <w:rFonts w:hint="eastAsia" w:ascii="仿宋_GB2312" w:hAnsi="仿宋" w:eastAsia="仿宋_GB2312"/>
          <w:sz w:val="30"/>
          <w:szCs w:val="30"/>
          <w:lang w:eastAsia="zh-CN"/>
        </w:rPr>
        <w:t>均</w:t>
      </w:r>
      <w:r>
        <w:rPr>
          <w:rFonts w:hint="eastAsia" w:ascii="仿宋_GB2312" w:hAnsi="仿宋" w:eastAsia="仿宋_GB2312"/>
          <w:sz w:val="30"/>
          <w:szCs w:val="30"/>
        </w:rPr>
        <w:t>未安排</w:t>
      </w:r>
      <w:r>
        <w:rPr>
          <w:rFonts w:hint="eastAsia" w:ascii="仿宋_GB2312" w:hAnsi="仿宋" w:eastAsia="仿宋_GB2312" w:cs="Times New Roman"/>
          <w:sz w:val="30"/>
          <w:szCs w:val="30"/>
          <w:lang w:eastAsia="zh-CN"/>
        </w:rPr>
        <w:t>公务用车购置及运行维护费</w:t>
      </w:r>
      <w:r>
        <w:rPr>
          <w:rFonts w:hint="eastAsia" w:ascii="仿宋_GB2312" w:hAnsi="仿宋"/>
          <w:color w:val="auto"/>
          <w:szCs w:val="32"/>
          <w:u w:val="none"/>
        </w:rPr>
        <w:t>。</w:t>
      </w:r>
      <w:r>
        <w:rPr>
          <w:rFonts w:hint="eastAsia" w:ascii="仿宋_GB2312" w:hAnsi="仿宋"/>
          <w:color w:val="auto"/>
          <w:szCs w:val="32"/>
        </w:rPr>
        <w:t>其中，公务用车购置费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100.0</w:t>
      </w:r>
      <w:r>
        <w:rPr>
          <w:rFonts w:hint="eastAsia" w:ascii="仿宋_GB2312" w:hAnsi="仿宋"/>
          <w:color w:val="auto"/>
          <w:szCs w:val="32"/>
          <w:lang w:eastAsia="zh-CN"/>
        </w:rPr>
        <w:t>%，</w:t>
      </w:r>
      <w:r>
        <w:rPr>
          <w:rFonts w:hint="eastAsia" w:ascii="仿宋_GB2312" w:hAnsi="仿宋" w:eastAsia="仿宋_GB2312"/>
          <w:sz w:val="30"/>
          <w:szCs w:val="30"/>
          <w:lang w:eastAsia="zh-CN"/>
        </w:rPr>
        <w:t>决算数与预算数相同</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w:t>
      </w:r>
      <w:r>
        <w:rPr>
          <w:rFonts w:hint="eastAsia" w:ascii="仿宋_GB2312" w:hAnsi="仿宋"/>
          <w:color w:val="auto"/>
          <w:szCs w:val="32"/>
          <w:u w:val="none"/>
        </w:rPr>
        <w:t>原因是</w:t>
      </w:r>
      <w:r>
        <w:rPr>
          <w:rFonts w:hint="eastAsia" w:ascii="仿宋_GB2312" w:hAnsi="仿宋" w:eastAsia="仿宋_GB2312"/>
          <w:sz w:val="30"/>
          <w:szCs w:val="30"/>
          <w:lang w:val="en-US" w:eastAsia="zh-CN"/>
        </w:rPr>
        <w:t>2021年度、</w:t>
      </w:r>
      <w:r>
        <w:rPr>
          <w:rFonts w:hint="eastAsia" w:ascii="仿宋_GB2312" w:hAnsi="仿宋" w:eastAsia="仿宋_GB2312"/>
          <w:sz w:val="30"/>
          <w:szCs w:val="30"/>
          <w:lang w:eastAsia="zh-CN"/>
        </w:rPr>
        <w:t>202</w:t>
      </w:r>
      <w:r>
        <w:rPr>
          <w:rFonts w:hint="eastAsia" w:ascii="仿宋_GB2312" w:hAnsi="仿宋" w:eastAsia="仿宋_GB2312"/>
          <w:sz w:val="30"/>
          <w:szCs w:val="30"/>
          <w:lang w:val="en-US" w:eastAsia="zh-CN"/>
        </w:rPr>
        <w:t>2</w:t>
      </w:r>
      <w:r>
        <w:rPr>
          <w:rFonts w:hint="eastAsia" w:ascii="仿宋_GB2312" w:hAnsi="仿宋" w:eastAsia="仿宋_GB2312"/>
          <w:sz w:val="30"/>
          <w:szCs w:val="30"/>
        </w:rPr>
        <w:t>年度</w:t>
      </w:r>
      <w:r>
        <w:rPr>
          <w:rFonts w:hint="eastAsia" w:ascii="仿宋_GB2312" w:hAnsi="仿宋" w:eastAsia="仿宋_GB2312"/>
          <w:sz w:val="30"/>
          <w:szCs w:val="30"/>
          <w:lang w:eastAsia="zh-CN"/>
        </w:rPr>
        <w:t>均</w:t>
      </w:r>
      <w:r>
        <w:rPr>
          <w:rFonts w:hint="eastAsia" w:ascii="仿宋_GB2312" w:hAnsi="仿宋" w:eastAsia="仿宋_GB2312"/>
          <w:sz w:val="30"/>
          <w:szCs w:val="30"/>
        </w:rPr>
        <w:t>未安排</w:t>
      </w:r>
      <w:r>
        <w:rPr>
          <w:rFonts w:hint="eastAsia" w:ascii="仿宋_GB2312" w:hAnsi="仿宋" w:eastAsia="仿宋_GB2312" w:cs="Times New Roman"/>
          <w:sz w:val="30"/>
          <w:szCs w:val="30"/>
          <w:lang w:eastAsia="zh-CN"/>
        </w:rPr>
        <w:t>公务用车购置费</w:t>
      </w:r>
      <w:r>
        <w:rPr>
          <w:rFonts w:hint="eastAsia" w:ascii="仿宋_GB2312" w:hAnsi="仿宋"/>
          <w:color w:val="auto"/>
          <w:szCs w:val="32"/>
          <w:u w:val="none"/>
        </w:rPr>
        <w:t>。</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年购置公务用车</w:t>
      </w:r>
      <w:r>
        <w:rPr>
          <w:rFonts w:hint="eastAsia" w:ascii="仿宋_GB2312" w:hAnsi="仿宋"/>
          <w:color w:val="auto"/>
          <w:szCs w:val="32"/>
          <w:lang w:val="en-US" w:eastAsia="zh-CN"/>
        </w:rPr>
        <w:t>0</w:t>
      </w:r>
      <w:r>
        <w:rPr>
          <w:rFonts w:hint="eastAsia" w:ascii="仿宋_GB2312" w:hAnsi="仿宋"/>
          <w:color w:val="auto"/>
          <w:szCs w:val="32"/>
        </w:rPr>
        <w:t>辆。公务用车运行维护费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100.0</w:t>
      </w:r>
      <w:r>
        <w:rPr>
          <w:rFonts w:hint="eastAsia" w:ascii="仿宋_GB2312" w:hAnsi="仿宋"/>
          <w:color w:val="auto"/>
          <w:szCs w:val="32"/>
          <w:lang w:eastAsia="zh-CN"/>
        </w:rPr>
        <w:t>%，</w:t>
      </w:r>
      <w:r>
        <w:rPr>
          <w:rFonts w:hint="eastAsia" w:ascii="仿宋_GB2312" w:hAnsi="仿宋" w:eastAsia="仿宋_GB2312"/>
          <w:sz w:val="30"/>
          <w:szCs w:val="30"/>
          <w:lang w:eastAsia="zh-CN"/>
        </w:rPr>
        <w:t>决算数与预算数相同</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w:t>
      </w:r>
      <w:r>
        <w:rPr>
          <w:rFonts w:hint="eastAsia" w:ascii="仿宋_GB2312" w:hAnsi="仿宋"/>
          <w:color w:val="auto"/>
          <w:szCs w:val="32"/>
          <w:u w:val="none"/>
        </w:rPr>
        <w:t>原因是</w:t>
      </w:r>
      <w:r>
        <w:rPr>
          <w:rFonts w:hint="eastAsia" w:ascii="仿宋_GB2312" w:hAnsi="仿宋" w:eastAsia="仿宋_GB2312"/>
          <w:sz w:val="30"/>
          <w:szCs w:val="30"/>
          <w:lang w:val="en-US" w:eastAsia="zh-CN"/>
        </w:rPr>
        <w:t>2021年度、</w:t>
      </w:r>
      <w:r>
        <w:rPr>
          <w:rFonts w:hint="eastAsia" w:ascii="仿宋_GB2312" w:hAnsi="仿宋" w:eastAsia="仿宋_GB2312"/>
          <w:sz w:val="30"/>
          <w:szCs w:val="30"/>
          <w:lang w:eastAsia="zh-CN"/>
        </w:rPr>
        <w:t>202</w:t>
      </w:r>
      <w:r>
        <w:rPr>
          <w:rFonts w:hint="eastAsia" w:ascii="仿宋_GB2312" w:hAnsi="仿宋" w:eastAsia="仿宋_GB2312"/>
          <w:sz w:val="30"/>
          <w:szCs w:val="30"/>
          <w:lang w:val="en-US" w:eastAsia="zh-CN"/>
        </w:rPr>
        <w:t>2</w:t>
      </w:r>
      <w:r>
        <w:rPr>
          <w:rFonts w:hint="eastAsia" w:ascii="仿宋_GB2312" w:hAnsi="仿宋" w:eastAsia="仿宋_GB2312"/>
          <w:sz w:val="30"/>
          <w:szCs w:val="30"/>
        </w:rPr>
        <w:t>年度</w:t>
      </w:r>
      <w:r>
        <w:rPr>
          <w:rFonts w:hint="eastAsia" w:ascii="仿宋_GB2312" w:hAnsi="仿宋" w:eastAsia="仿宋_GB2312"/>
          <w:sz w:val="30"/>
          <w:szCs w:val="30"/>
          <w:lang w:eastAsia="zh-CN"/>
        </w:rPr>
        <w:t>均</w:t>
      </w:r>
      <w:r>
        <w:rPr>
          <w:rFonts w:hint="eastAsia" w:ascii="仿宋_GB2312" w:hAnsi="仿宋" w:eastAsia="仿宋_GB2312"/>
          <w:sz w:val="30"/>
          <w:szCs w:val="30"/>
        </w:rPr>
        <w:t>未安排</w:t>
      </w:r>
      <w:r>
        <w:rPr>
          <w:rFonts w:hint="eastAsia" w:ascii="仿宋_GB2312" w:hAnsi="仿宋" w:eastAsia="仿宋_GB2312" w:cs="Times New Roman"/>
          <w:sz w:val="30"/>
          <w:szCs w:val="30"/>
          <w:lang w:eastAsia="zh-CN"/>
        </w:rPr>
        <w:t>公务用车运行维护费</w:t>
      </w:r>
      <w:r>
        <w:rPr>
          <w:rFonts w:hint="eastAsia" w:ascii="仿宋_GB2312" w:hAnsi="仿宋"/>
          <w:color w:val="auto"/>
          <w:szCs w:val="32"/>
          <w:u w:val="none"/>
        </w:rPr>
        <w:t>。</w:t>
      </w:r>
      <w:r>
        <w:rPr>
          <w:rFonts w:hint="eastAsia" w:ascii="仿宋_GB2312" w:hAnsi="仿宋"/>
          <w:color w:val="auto"/>
          <w:szCs w:val="32"/>
        </w:rPr>
        <w:t>截至</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年12月31日，</w:t>
      </w:r>
      <w:r>
        <w:rPr>
          <w:rFonts w:hint="eastAsia" w:ascii="仿宋_GB2312" w:hAnsi="仿宋"/>
          <w:color w:val="auto"/>
          <w:szCs w:val="32"/>
          <w:lang w:val="en-US" w:eastAsia="zh-CN"/>
        </w:rPr>
        <w:t>淮北市社会事务服务中心</w:t>
      </w:r>
      <w:r>
        <w:rPr>
          <w:rFonts w:hint="eastAsia" w:ascii="仿宋_GB2312" w:hAnsi="仿宋"/>
          <w:color w:val="auto"/>
          <w:szCs w:val="32"/>
        </w:rPr>
        <w:t>开支财政拨款的公务用车保有量为</w:t>
      </w:r>
      <w:r>
        <w:rPr>
          <w:rFonts w:hint="eastAsia" w:ascii="仿宋_GB2312" w:hAnsi="仿宋"/>
          <w:color w:val="auto"/>
          <w:szCs w:val="32"/>
          <w:lang w:val="en-US" w:eastAsia="zh-CN"/>
        </w:rPr>
        <w:t>0</w:t>
      </w:r>
      <w:r>
        <w:rPr>
          <w:rFonts w:hint="eastAsia" w:ascii="仿宋_GB2312" w:hAnsi="仿宋"/>
          <w:color w:val="auto"/>
          <w:szCs w:val="32"/>
        </w:rPr>
        <w:t>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jJlYWNiYTVjODU1YTE5ZjMxYjkzZjdjYjM1OGMifQ=="/>
  </w:docVars>
  <w:rsids>
    <w:rsidRoot w:val="5A69374A"/>
    <w:rsid w:val="41103224"/>
    <w:rsid w:val="5A693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2023-09-22T03:18:00Z</dcterms:created>
  <dc:creator>PC</dc:creator>
  <cp:lastModifiedBy>PC</cp:lastModifiedBy>
  <dcterms:modified xsi:type="dcterms:W3CDTF">2023-09-27T02:13:45Z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4DC9E47EDEED43F6BCA01997DFB3CB2C_11</vt:lpwstr>
  </property>
</Properties>
</file>