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养老服务指导中心</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2</w:t>
      </w:r>
      <w:r>
        <w:rPr>
          <w:rFonts w:hint="eastAsia" w:ascii="TimesNewRoman" w:hAnsi="TimesNewRoman" w:eastAsia="黑体" w:cs="TimesNewRoman"/>
          <w:bCs/>
          <w:sz w:val="44"/>
          <w:szCs w:val="44"/>
        </w:rPr>
        <w:t>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3、2024年</w:t>
      </w:r>
      <w:r>
        <w:rPr>
          <w:rFonts w:hint="eastAsia" w:ascii="TimesNewRoman" w:hAnsi="TimesNewRoman" w:eastAsia="仿宋_GB2312" w:cs="TimesNewRoman"/>
          <w:bCs/>
          <w:sz w:val="32"/>
          <w:szCs w:val="32"/>
        </w:rPr>
        <w:t>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2024年收入总表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2024年支出总表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2024年财政拨款收支总表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2024年一般公共预算支出表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2024年一般公共预算基本支出表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2024年政府性基金预算支出表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2024年国有资本经营预算支出表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2024年项目支出表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2024年政府采购支出表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2024年政府购买服务支出表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0" w:firstLineChars="200"/>
        <w:rPr>
          <w:rFonts w:hint="eastAsia" w:ascii="仿宋_GB2312" w:eastAsia="仿宋_GB2312"/>
          <w:sz w:val="32"/>
          <w:szCs w:val="32"/>
        </w:rPr>
      </w:pPr>
      <w:r>
        <w:rPr>
          <w:rFonts w:hint="eastAsia" w:ascii="仿宋_GB2312" w:hAnsi="仿宋" w:eastAsia="仿宋_GB2312" w:cs="Times New Roman"/>
          <w:color w:val="auto"/>
          <w:sz w:val="32"/>
          <w:szCs w:val="32"/>
        </w:rPr>
        <w:t>市养老服务指导中心主要职责负责对全市养老服务机构进行监督管理，对全市养老服务工作和特困供养机构进行具体业务指导</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落实并开展养老服务从业人员的培训、技能鉴定与跟踪评估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负责对老人生活能力评估工作</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协助制定全市养老服务行业标准、规范</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负责</w:t>
      </w:r>
      <w:bookmarkStart w:id="0" w:name="_GoBack"/>
      <w:bookmarkEnd w:id="0"/>
      <w:r>
        <w:rPr>
          <w:rFonts w:hint="eastAsia" w:ascii="仿宋_GB2312" w:hAnsi="仿宋" w:eastAsia="仿宋_GB2312" w:cs="Times New Roman"/>
          <w:color w:val="auto"/>
          <w:sz w:val="32"/>
          <w:szCs w:val="32"/>
        </w:rPr>
        <w:t>市级养老服务信息管理平台的维护运营等工作。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养老服务指导中心</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w:t>
      </w:r>
      <w:r>
        <w:rPr>
          <w:rFonts w:hint="eastAsia" w:ascii="TimesNewRoman" w:hAnsi="TimesNewRoman" w:eastAsia="仿宋_GB2312" w:cs="TimesNewRoman"/>
          <w:sz w:val="32"/>
          <w:szCs w:val="32"/>
          <w:lang w:val="en-US" w:eastAsia="zh-CN"/>
        </w:rPr>
        <w:t>仅本单位</w:t>
      </w:r>
      <w:r>
        <w:rPr>
          <w:rFonts w:hint="eastAsia" w:ascii="TimesNewRoman" w:hAnsi="TimesNewRoman" w:eastAsia="仿宋_GB2312" w:cs="TimesNewRoman"/>
          <w:sz w:val="32"/>
          <w:szCs w:val="32"/>
        </w:rPr>
        <w:t>单位预算，纳入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预算编制范围的预算单位共</w:t>
      </w:r>
      <w:r>
        <w:rPr>
          <w:rFonts w:hint="eastAsia" w:ascii="仿宋_GB2312" w:hAnsi="仿宋_GB2312" w:eastAsia="仿宋_GB2312" w:cs="仿宋_GB2312"/>
          <w:sz w:val="32"/>
          <w:szCs w:val="32"/>
          <w:lang w:val="en-US" w:eastAsia="zh-CN"/>
        </w:rPr>
        <w:t>1</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eastAsiaTheme="minorEastAsia"/>
                <w:sz w:val="24"/>
                <w:u w:val="single"/>
                <w:lang w:val="en-US" w:eastAsia="zh-CN"/>
              </w:rPr>
            </w:pPr>
            <w:r>
              <w:rPr>
                <w:rFonts w:hint="eastAsia" w:ascii="TimesNewRoman" w:hAnsi="TimesNewRoman" w:cs="TimesNewRoman"/>
                <w:bCs/>
                <w:sz w:val="24"/>
              </w:rPr>
              <w:t>淮北市</w:t>
            </w:r>
            <w:r>
              <w:rPr>
                <w:rFonts w:hint="eastAsia" w:ascii="TimesNewRoman" w:hAnsi="TimesNewRoman" w:cs="TimesNewRoman"/>
                <w:bCs/>
                <w:sz w:val="24"/>
                <w:lang w:val="en-US" w:eastAsia="zh-CN"/>
              </w:rPr>
              <w:t>养老服务指导中心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w:t>
      </w:r>
      <w:r>
        <w:rPr>
          <w:rFonts w:hint="eastAsia" w:ascii="Times New Roman" w:hAnsi="Times New Roman" w:eastAsia="仿宋_GB2312" w:cs="Times New Roman"/>
          <w:spacing w:val="4"/>
          <w:kern w:val="2"/>
          <w:sz w:val="32"/>
          <w:szCs w:val="32"/>
          <w:lang w:val="en-US" w:eastAsia="zh-CN" w:bidi="ar-SA"/>
        </w:rPr>
        <w:t>养老服务指导中心</w:t>
      </w:r>
      <w:r>
        <w:rPr>
          <w:rFonts w:hint="default" w:ascii="Times New Roman" w:hAnsi="Times New Roman" w:eastAsia="仿宋_GB2312" w:cs="Times New Roman"/>
          <w:spacing w:val="4"/>
          <w:kern w:val="2"/>
          <w:sz w:val="32"/>
          <w:szCs w:val="32"/>
          <w:lang w:val="en-US" w:eastAsia="zh-CN" w:bidi="ar-SA"/>
        </w:rPr>
        <w:t>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pPr>
        <w:keepNext w:val="0"/>
        <w:keepLines w:val="0"/>
        <w:pageBreakBefore w:val="0"/>
        <w:widowControl w:val="0"/>
        <w:kinsoku/>
        <w:wordWrap/>
        <w:overflowPunct/>
        <w:topLinePunct/>
        <w:autoSpaceDE/>
        <w:autoSpaceDN/>
        <w:bidi w:val="0"/>
        <w:adjustRightInd w:val="0"/>
        <w:spacing w:line="560" w:lineRule="exact"/>
        <w:ind w:firstLine="476" w:firstLineChars="149"/>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sz w:val="32"/>
          <w:szCs w:val="32"/>
          <w:lang w:val="en-US" w:eastAsia="zh-CN"/>
        </w:rPr>
        <w:t>进一步健全养老服务体系。</w:t>
      </w:r>
      <w:r>
        <w:rPr>
          <w:rFonts w:hint="eastAsia" w:ascii="仿宋_GB2312" w:hAnsi="仿宋_GB2312" w:eastAsia="仿宋_GB2312" w:cs="仿宋_GB2312"/>
          <w:sz w:val="32"/>
          <w:szCs w:val="32"/>
          <w:lang w:val="en-US" w:eastAsia="zh-CN"/>
        </w:rPr>
        <w:t>切实发挥全市养老服务领导小组的统筹协调作用，加快推进我市养老服务体系建设。落实《淮北市居家养老服务条例》，落实《淮北市人民政府办公室关于加快促进养老产业发展的意见》文件精神，不断满足老年人日益增长的多层次、高品质养老服务需求。</w:t>
      </w:r>
      <w:r>
        <w:rPr>
          <w:rFonts w:hint="default" w:ascii="Times New Roman" w:hAnsi="Times New Roman" w:eastAsia="仿宋_GB2312" w:cs="Times New Roman"/>
          <w:color w:val="auto"/>
          <w:sz w:val="32"/>
          <w:szCs w:val="32"/>
          <w:lang w:val="en-US" w:eastAsia="zh-CN"/>
        </w:rPr>
        <w:t>加大“双招双引”力度，</w:t>
      </w:r>
      <w:r>
        <w:rPr>
          <w:rFonts w:hint="eastAsia" w:ascii="Times New Roman" w:hAnsi="Times New Roman" w:eastAsia="仿宋_GB2312" w:cs="Times New Roman"/>
          <w:color w:val="auto"/>
          <w:sz w:val="32"/>
          <w:szCs w:val="32"/>
          <w:lang w:val="en-US" w:eastAsia="zh-CN"/>
        </w:rPr>
        <w:t>围绕生命健康产业</w:t>
      </w:r>
      <w:r>
        <w:rPr>
          <w:rFonts w:hint="default" w:ascii="Times New Roman" w:hAnsi="Times New Roman" w:eastAsia="仿宋_GB2312" w:cs="Times New Roman"/>
          <w:color w:val="auto"/>
          <w:sz w:val="32"/>
          <w:szCs w:val="32"/>
          <w:lang w:val="en-US" w:eastAsia="zh-CN"/>
        </w:rPr>
        <w:t>实行全链条精准招商，推动养老产业和养老事业协同发展。</w:t>
      </w:r>
      <w:r>
        <w:rPr>
          <w:rFonts w:hint="eastAsia" w:ascii="Times New Roman" w:hAnsi="Times New Roman" w:eastAsia="仿宋_GB2312" w:cs="Times New Roman"/>
          <w:color w:val="auto"/>
          <w:sz w:val="32"/>
          <w:szCs w:val="32"/>
          <w:lang w:val="en-US" w:eastAsia="zh-CN"/>
        </w:rPr>
        <w:t>加强项目谋划与建设力度，持续</w:t>
      </w:r>
      <w:r>
        <w:rPr>
          <w:rFonts w:hint="default" w:ascii="Times New Roman" w:hAnsi="Times New Roman" w:eastAsia="仿宋_GB2312" w:cs="Times New Roman"/>
          <w:color w:val="auto"/>
          <w:sz w:val="32"/>
          <w:szCs w:val="32"/>
          <w:lang w:val="en-US" w:eastAsia="zh-CN"/>
        </w:rPr>
        <w:t>推进银华康养综合服务中心、烈山区养老服务中心、杜集区区级特困失能照护中心、相山区敬老院改造提升等项目。</w:t>
      </w:r>
      <w:r>
        <w:rPr>
          <w:rFonts w:hint="eastAsia" w:ascii="Times New Roman" w:hAnsi="Times New Roman" w:eastAsia="仿宋" w:cs="Times New Roman"/>
          <w:b w:val="0"/>
          <w:bCs w:val="0"/>
          <w:color w:val="auto"/>
          <w:sz w:val="32"/>
          <w:szCs w:val="32"/>
          <w:lang w:val="en-US" w:eastAsia="zh-CN"/>
        </w:rPr>
        <w:t>大力发展“嵌入式”养老机构，计划新建8个，综合提升3个“嵌入式”养老机构</w:t>
      </w:r>
      <w:r>
        <w:rPr>
          <w:rFonts w:hint="default" w:ascii="Times New Roman" w:hAnsi="Times New Roman" w:eastAsia="仿宋_GB2312"/>
          <w:color w:val="000000"/>
          <w:sz w:val="32"/>
          <w:szCs w:val="32"/>
          <w:lang w:val="en-US" w:eastAsia="zh-CN"/>
        </w:rPr>
        <w:t>。</w:t>
      </w:r>
      <w:r>
        <w:rPr>
          <w:rFonts w:hint="eastAsia" w:ascii="Times New Roman" w:hAnsi="Times New Roman" w:eastAsia="仿宋_GB2312" w:cs="Times New Roman"/>
          <w:color w:val="auto"/>
          <w:sz w:val="32"/>
          <w:szCs w:val="32"/>
          <w:lang w:val="en-US" w:eastAsia="zh-CN"/>
        </w:rPr>
        <w:t>落实高龄津贴、特殊困难老年人居家养老服务等老年人福利政策。开展老年助餐行动，建立健全长效机制，促进老年助餐服务提质增效。有效开展特殊困难老年人探访关爱服务，整合多方资源，提高探访关爱能力。加快推进特殊困难老年人家庭适老化改造，完成“十四五”总任务数的 85%以上。</w:t>
      </w:r>
    </w:p>
    <w:p>
      <w:pPr>
        <w:shd w:val="clear"/>
        <w:ind w:firstLine="420" w:firstLineChars="200"/>
      </w:pPr>
    </w:p>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养老服务指导中心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养老服务指导中心</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91.28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淮北市养老服务指导中心2024年收入预算91.28万元 ，其中，本年收入91.28万元。</w:t>
      </w:r>
    </w:p>
    <w:p>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91.28</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56.18</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增加51.28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为2023年新成立单位</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为新成立单位新建项目</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新成立单位新建项目</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46.28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50.70</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49.30</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w:t>
      </w:r>
      <w:r>
        <w:rPr>
          <w:rFonts w:hint="eastAsia" w:ascii="仿宋_GB2312" w:hAnsi="仿宋" w:eastAsia="仿宋_GB2312"/>
          <w:sz w:val="32"/>
          <w:szCs w:val="32"/>
          <w:lang w:val="en-US" w:eastAsia="zh-CN"/>
        </w:rPr>
        <w:t>养老服务</w:t>
      </w:r>
      <w:r>
        <w:rPr>
          <w:rFonts w:hint="eastAsia" w:ascii="仿宋_GB2312" w:hAnsi="仿宋" w:eastAsia="仿宋_GB2312"/>
          <w:sz w:val="32"/>
          <w:szCs w:val="32"/>
        </w:rPr>
        <w:t>事业发展需要设立的项目</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40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48.20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2.43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5.56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其他支出40万元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增加51.28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85.80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4.32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9.89</w:t>
      </w:r>
      <w:r>
        <w:rPr>
          <w:rFonts w:hint="eastAsia" w:ascii="仿宋_GB2312" w:hAnsi="仿宋_GB2312" w:eastAsia="仿宋_GB2312" w:cs="仿宋_GB2312"/>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1.社会保障和就业支出（类）民政管理事务（款）其他民政管理事务支出（项）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37.31</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增加37.31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4.37</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增加4.37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2.18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增加2.18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增加0.14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1.63</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增加1.63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0.58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增加0.58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3.58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增加3.58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8</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1.49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增加1.49</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46.28</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42.68</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3.60</w:t>
      </w:r>
      <w:r>
        <w:rPr>
          <w:rFonts w:hint="eastAsia" w:ascii="仿宋_GB2312" w:hAnsi="仿宋_GB2312" w:eastAsia="仿宋_GB2312" w:cs="仿宋_GB2312"/>
          <w:kern w:val="0"/>
          <w:sz w:val="32"/>
          <w:szCs w:val="32"/>
        </w:rPr>
        <w:t>万元。</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42.68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、其他对个人和家庭的补助</w:t>
      </w:r>
      <w:r>
        <w:rPr>
          <w:rFonts w:hint="eastAsia" w:ascii="仿宋_GB2312" w:hAnsi="仿宋_GB2312" w:eastAsia="仿宋_GB2312" w:cs="仿宋_GB2312"/>
          <w:kern w:val="0"/>
          <w:sz w:val="32"/>
          <w:szCs w:val="32"/>
        </w:rPr>
        <w:t>。</w:t>
      </w:r>
    </w:p>
    <w:p>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3.60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pPr>
        <w:adjustRightInd w:val="0"/>
        <w:snapToGrid w:val="0"/>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淮北市养老服务指导中心2024年政府性基金支出40万元，比2023年预算增加40万元，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lang w:val="en-US" w:eastAsia="zh-CN" w:bidi="ar-SA"/>
        </w:rPr>
        <w:t>具体情况如下：</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40万元，比2023年预算增加40万元，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没有使用一般公共预算拨款、政府性基金预算拨款、国有资本经营预算拨款、财政专户管理资金和单位资金安排的政府采购支出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没有安排政府购买服务支出。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“养老服务指导中心工作经费”项目。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楷体" w:eastAsia="仿宋_GB2312"/>
          <w:sz w:val="32"/>
          <w:szCs w:val="32"/>
          <w:lang w:val="en-US"/>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养老服务指导中心工作经费，主要负责养老服务机构监督检查、养老从业人员培训、外出学习招商等</w:t>
      </w:r>
      <w:r>
        <w:rPr>
          <w:rFonts w:hint="eastAsia" w:ascii="仿宋_GB2312" w:hAnsi="楷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w:t>
      </w:r>
      <w:r>
        <w:rPr>
          <w:rFonts w:hint="eastAsia" w:ascii="仿宋_GB2312" w:hAnsi="楷体" w:eastAsia="仿宋_GB2312"/>
          <w:sz w:val="32"/>
          <w:szCs w:val="32"/>
          <w:lang w:eastAsia="zh-CN"/>
        </w:rPr>
        <w:t>1.淮民社救〔2022〕5号：关于印发《淮北市城乡居民最低生活保障实施方案》等七项民生工程实施方案的通知2.淮民办〔2021〕50号：淮北市“十四五”养老服务发展规划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（3）实施主体。养老服务科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负责养老服务机构监督检查、养老从业人员培训、外出学习招商等。</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指导我市养老服务机构、养老服务中心发展，加强监督检查，提升我市养老服务水平。</w:t>
      </w:r>
    </w:p>
    <w:tbl>
      <w:tblPr>
        <w:tblStyle w:val="10"/>
        <w:tblW w:w="9271" w:type="dxa"/>
        <w:tblInd w:w="93" w:type="dxa"/>
        <w:tblLayout w:type="fixed"/>
        <w:tblCellMar>
          <w:top w:w="0" w:type="dxa"/>
          <w:left w:w="108" w:type="dxa"/>
          <w:bottom w:w="0" w:type="dxa"/>
          <w:right w:w="108" w:type="dxa"/>
        </w:tblCellMar>
      </w:tblPr>
      <w:tblGrid>
        <w:gridCol w:w="416"/>
        <w:gridCol w:w="820"/>
        <w:gridCol w:w="940"/>
        <w:gridCol w:w="1695"/>
        <w:gridCol w:w="1165"/>
        <w:gridCol w:w="791"/>
        <w:gridCol w:w="889"/>
        <w:gridCol w:w="1340"/>
        <w:gridCol w:w="450"/>
        <w:gridCol w:w="765"/>
      </w:tblGrid>
      <w:tr>
        <w:tblPrEx>
          <w:tblCellMar>
            <w:top w:w="0" w:type="dxa"/>
            <w:left w:w="108" w:type="dxa"/>
            <w:bottom w:w="0" w:type="dxa"/>
            <w:right w:w="108" w:type="dxa"/>
          </w:tblCellMar>
        </w:tblPrEx>
        <w:trPr>
          <w:trHeight w:val="360" w:hRule="atLeast"/>
        </w:trPr>
        <w:tc>
          <w:tcPr>
            <w:tcW w:w="9271" w:type="dxa"/>
            <w:gridSpan w:val="10"/>
            <w:tcBorders>
              <w:top w:val="nil"/>
              <w:left w:val="nil"/>
              <w:bottom w:val="nil"/>
              <w:right w:val="nil"/>
            </w:tcBorders>
            <w:noWrap w:val="0"/>
            <w:vAlign w:val="center"/>
          </w:tcPr>
          <w:p>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271"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8035"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养老服务指导中心工作经费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8035"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养老服务指导中心</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8035"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956"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2.5</w:t>
            </w:r>
          </w:p>
        </w:tc>
        <w:tc>
          <w:tcPr>
            <w:tcW w:w="22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15"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956"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default" w:ascii="宋体" w:hAnsi="宋体" w:cs="宋体"/>
                <w:sz w:val="20"/>
                <w:szCs w:val="20"/>
                <w:lang w:val="en-US" w:eastAsia="zh-CN"/>
              </w:rPr>
              <w:t>2.5</w:t>
            </w:r>
          </w:p>
        </w:tc>
        <w:tc>
          <w:tcPr>
            <w:tcW w:w="22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15"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956"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c>
          <w:tcPr>
            <w:tcW w:w="22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15"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444"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w:t>
            </w:r>
            <w:r>
              <w:rPr>
                <w:rFonts w:hint="eastAsia"/>
                <w:sz w:val="20"/>
                <w:szCs w:val="20"/>
                <w:lang w:eastAsia="zh-CN"/>
              </w:rPr>
              <w:t>对全市养老服务机构进行监督检查、举办养老服务从业人员培训，提升我市养老服务水平。</w:t>
            </w:r>
          </w:p>
        </w:tc>
        <w:tc>
          <w:tcPr>
            <w:tcW w:w="3444"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lang w:eastAsia="zh-CN"/>
              </w:rPr>
              <w:t>对全市养老服务机构进行监督检查、举办养老服务从业人员培训，提升我市养老服务水平。</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16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45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6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对全市</w:t>
            </w:r>
            <w:r>
              <w:rPr>
                <w:rFonts w:hint="eastAsia"/>
                <w:sz w:val="20"/>
                <w:szCs w:val="20"/>
                <w:lang w:val="en-US" w:eastAsia="zh-CN"/>
              </w:rPr>
              <w:t>55家</w:t>
            </w:r>
            <w:r>
              <w:rPr>
                <w:rFonts w:hint="eastAsia"/>
                <w:sz w:val="20"/>
                <w:szCs w:val="20"/>
                <w:lang w:eastAsia="zh-CN"/>
              </w:rPr>
              <w:t>养老机构、</w:t>
            </w:r>
            <w:r>
              <w:rPr>
                <w:rFonts w:hint="eastAsia"/>
                <w:sz w:val="20"/>
                <w:szCs w:val="20"/>
                <w:lang w:val="en-US" w:eastAsia="zh-CN"/>
              </w:rPr>
              <w:t>186家</w:t>
            </w:r>
            <w:r>
              <w:rPr>
                <w:rFonts w:hint="eastAsia"/>
                <w:sz w:val="20"/>
                <w:szCs w:val="20"/>
                <w:lang w:eastAsia="zh-CN"/>
              </w:rPr>
              <w:t>养老服务中心、</w:t>
            </w:r>
            <w:r>
              <w:rPr>
                <w:rFonts w:hint="eastAsia"/>
                <w:sz w:val="20"/>
                <w:szCs w:val="20"/>
                <w:lang w:val="en-US" w:eastAsia="zh-CN"/>
              </w:rPr>
              <w:t>310家老年助餐点等</w:t>
            </w:r>
            <w:r>
              <w:rPr>
                <w:rFonts w:hint="eastAsia"/>
                <w:sz w:val="20"/>
                <w:szCs w:val="20"/>
                <w:lang w:eastAsia="zh-CN"/>
              </w:rPr>
              <w:t>进行监督检查、举办养老服务从业人员培训。</w:t>
            </w:r>
          </w:p>
        </w:tc>
        <w:tc>
          <w:tcPr>
            <w:tcW w:w="11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color w:val="auto"/>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color w:val="auto"/>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对全市</w:t>
            </w:r>
            <w:r>
              <w:rPr>
                <w:rFonts w:hint="eastAsia"/>
                <w:sz w:val="20"/>
                <w:szCs w:val="20"/>
                <w:lang w:val="en-US" w:eastAsia="zh-CN"/>
              </w:rPr>
              <w:t>55家</w:t>
            </w:r>
            <w:r>
              <w:rPr>
                <w:rFonts w:hint="eastAsia"/>
                <w:sz w:val="20"/>
                <w:szCs w:val="20"/>
                <w:lang w:eastAsia="zh-CN"/>
              </w:rPr>
              <w:t>养老机构、</w:t>
            </w:r>
            <w:r>
              <w:rPr>
                <w:rFonts w:hint="eastAsia"/>
                <w:sz w:val="20"/>
                <w:szCs w:val="20"/>
                <w:lang w:val="en-US" w:eastAsia="zh-CN"/>
              </w:rPr>
              <w:t>186家</w:t>
            </w:r>
            <w:r>
              <w:rPr>
                <w:rFonts w:hint="eastAsia"/>
                <w:sz w:val="20"/>
                <w:szCs w:val="20"/>
                <w:lang w:eastAsia="zh-CN"/>
              </w:rPr>
              <w:t>养老服务中心、</w:t>
            </w:r>
            <w:r>
              <w:rPr>
                <w:rFonts w:hint="eastAsia"/>
                <w:sz w:val="20"/>
                <w:szCs w:val="20"/>
                <w:lang w:val="en-US" w:eastAsia="zh-CN"/>
              </w:rPr>
              <w:t>310家老年助餐点等</w:t>
            </w:r>
            <w:r>
              <w:rPr>
                <w:rFonts w:hint="eastAsia"/>
                <w:sz w:val="20"/>
                <w:szCs w:val="20"/>
                <w:lang w:eastAsia="zh-CN"/>
              </w:rPr>
              <w:t>进行监督检查、举办养老服务从业人员培训。</w:t>
            </w:r>
          </w:p>
        </w:tc>
        <w:tc>
          <w:tcPr>
            <w:tcW w:w="4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color w:val="auto"/>
                <w:sz w:val="20"/>
                <w:szCs w:val="20"/>
                <w:lang w:val="en-US" w:eastAsia="zh-CN"/>
              </w:rPr>
              <w:t>30</w:t>
            </w:r>
          </w:p>
        </w:tc>
        <w:tc>
          <w:tcPr>
            <w:tcW w:w="7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default" w:ascii="宋体" w:hAnsi="宋体" w:eastAsia="宋体" w:cs="宋体"/>
                <w:sz w:val="20"/>
                <w:szCs w:val="20"/>
                <w:lang w:val="en-US" w:eastAsia="zh-CN"/>
              </w:rPr>
              <w:t>进一步提升我市养老服务质量</w:t>
            </w:r>
          </w:p>
        </w:tc>
        <w:tc>
          <w:tcPr>
            <w:tcW w:w="11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default" w:ascii="宋体" w:hAnsi="宋体" w:eastAsia="宋体" w:cs="宋体"/>
                <w:sz w:val="20"/>
                <w:szCs w:val="20"/>
                <w:lang w:val="en-US" w:eastAsia="zh-CN"/>
              </w:rPr>
              <w:t>进一步提升我市养老服务质量</w:t>
            </w:r>
          </w:p>
        </w:tc>
        <w:tc>
          <w:tcPr>
            <w:tcW w:w="4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及时发放资金</w:t>
            </w:r>
          </w:p>
        </w:tc>
        <w:tc>
          <w:tcPr>
            <w:tcW w:w="11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及时发放资金</w:t>
            </w:r>
          </w:p>
        </w:tc>
        <w:tc>
          <w:tcPr>
            <w:tcW w:w="4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我市养老服务水平有效提升</w:t>
            </w:r>
          </w:p>
        </w:tc>
        <w:tc>
          <w:tcPr>
            <w:tcW w:w="11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3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我市养老服务水平有效提升</w:t>
            </w:r>
          </w:p>
        </w:tc>
        <w:tc>
          <w:tcPr>
            <w:tcW w:w="4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95%以上</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r>
              <w:rPr>
                <w:rFonts w:hint="eastAsia"/>
                <w:sz w:val="20"/>
                <w:szCs w:val="20"/>
              </w:rPr>
              <w:t>服务对象满意度指标</w:t>
            </w:r>
          </w:p>
        </w:tc>
        <w:tc>
          <w:tcPr>
            <w:tcW w:w="16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kern w:val="2"/>
                <w:sz w:val="20"/>
                <w:szCs w:val="20"/>
                <w:lang w:val="en-US" w:eastAsia="zh-CN" w:bidi="ar-SA"/>
              </w:rPr>
              <w:t>养老服务监管更全面，养老服务人才专业水平提升。</w:t>
            </w:r>
          </w:p>
        </w:tc>
        <w:tc>
          <w:tcPr>
            <w:tcW w:w="1165"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3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kern w:val="2"/>
                <w:sz w:val="20"/>
                <w:szCs w:val="20"/>
                <w:lang w:val="en-US" w:eastAsia="zh-CN" w:bidi="ar-SA"/>
              </w:rPr>
              <w:t>养老服务体系不断完善，养老服务人才专业水平提升。</w:t>
            </w:r>
          </w:p>
        </w:tc>
        <w:tc>
          <w:tcPr>
            <w:tcW w:w="45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76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w:t>
      </w:r>
      <w:r>
        <w:rPr>
          <w:rFonts w:hint="eastAsia" w:ascii="仿宋_GB2312" w:hAnsi="楷体" w:eastAsia="仿宋_GB2312"/>
          <w:b/>
          <w:sz w:val="32"/>
          <w:szCs w:val="32"/>
          <w:lang w:eastAsia="zh-CN"/>
        </w:rPr>
        <w:t>居家适老化改造建设</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w:t>
      </w:r>
      <w:r>
        <w:rPr>
          <w:rFonts w:hint="eastAsia" w:ascii="仿宋_GB2312" w:hAnsi="楷体" w:eastAsia="仿宋_GB2312"/>
          <w:sz w:val="32"/>
          <w:szCs w:val="32"/>
        </w:rPr>
        <w:t>纳入分散供养特困人员中高龄、失能老年人</w:t>
      </w:r>
      <w:r>
        <w:rPr>
          <w:rFonts w:hint="eastAsia" w:ascii="仿宋_GB2312" w:hAnsi="楷体" w:eastAsia="仿宋_GB2312"/>
          <w:sz w:val="32"/>
          <w:szCs w:val="32"/>
          <w:lang w:eastAsia="zh-CN"/>
        </w:rPr>
        <w:t>提供居家适老化改造</w:t>
      </w:r>
      <w:r>
        <w:rPr>
          <w:rFonts w:hint="eastAsia" w:ascii="仿宋_GB2312" w:hAnsi="楷体" w:eastAsia="仿宋_GB2312"/>
          <w:sz w:val="32"/>
          <w:szCs w:val="32"/>
        </w:rPr>
        <w:t>。有条件的地区可将改造对象范围扩大到城乡低保对象和困难老年人中的高龄、失能家庭。为特殊困难老年人居家进行无障碍、安全性、适老性、辅具适配等方面适老化改造。</w:t>
      </w:r>
    </w:p>
    <w:p>
      <w:pPr>
        <w:numPr>
          <w:ilvl w:val="0"/>
          <w:numId w:val="0"/>
        </w:numPr>
        <w:adjustRightInd w:val="0"/>
        <w:snapToGrid w:val="0"/>
        <w:spacing w:line="600" w:lineRule="exact"/>
        <w:ind w:left="210" w:leftChars="0" w:firstLine="320" w:firstLineChars="100"/>
        <w:rPr>
          <w:rFonts w:hint="eastAsia" w:ascii="仿宋_GB2312" w:hAnsi="楷体" w:eastAsia="仿宋_GB2312"/>
          <w:sz w:val="32"/>
          <w:szCs w:val="3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任务。1.《安徽省加快实施居家适老化改造工程的实施方案》2.淮民社救〔2022〕5号：关于印发《淮北市城乡居民最低生活保障实施方案》等七项民生工程实施方案的通知3.淮民办〔2021〕50号：淮北市“十四五”养老服务发展规划。</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皖民养老函〔2022〕148号 关于推进“十四五”特殊困难老年人家庭适老化改造工作的通知</w:t>
      </w:r>
      <w:r>
        <w:rPr>
          <w:rFonts w:hint="eastAsia" w:ascii="仿宋_GB2312" w:hAnsi="楷体" w:eastAsia="仿宋_GB2312"/>
          <w:sz w:val="32"/>
          <w:szCs w:val="32"/>
          <w:lang w:val="en-US" w:eastAsia="zh-CN"/>
        </w:rPr>
        <w:t>5.《淮北市居家养老服务条例》</w:t>
      </w:r>
    </w:p>
    <w:p>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5</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项目内容</w:t>
      </w:r>
      <w:r>
        <w:rPr>
          <w:rFonts w:hint="eastAsia" w:ascii="仿宋_GB2312" w:hAnsi="楷体" w:eastAsia="仿宋_GB2312"/>
          <w:sz w:val="32"/>
          <w:szCs w:val="32"/>
          <w:lang w:eastAsia="zh-CN"/>
        </w:rPr>
        <w:t>：为特殊困难老年人居家进行无障碍、安全性、适老性、辅具适配等方面适老化改造。</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6</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40</w:t>
      </w:r>
      <w:r>
        <w:rPr>
          <w:rFonts w:hint="eastAsia" w:ascii="仿宋_GB2312" w:hAnsi="仿宋" w:eastAsia="仿宋_GB2312"/>
          <w:sz w:val="32"/>
          <w:szCs w:val="32"/>
          <w:lang w:val="en-US" w:eastAsia="zh-CN"/>
        </w:rPr>
        <w:t>万元</w:t>
      </w:r>
    </w:p>
    <w:p>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：为特殊困难老年人进行居家适老化改造，优化家庭养老环境，支持家庭承担养老功能。</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居家适老化改造建设</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auto"/>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为特殊困难老年人进行居家适老化改造，优化家庭养老环境，支持家庭承担养老功能。</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为特殊困难老年人进行居家适老化改造，优化家庭养老环境，支持家庭承担养老功能。</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color w:val="auto"/>
                <w:sz w:val="20"/>
                <w:szCs w:val="20"/>
                <w:lang w:val="en-US" w:eastAsia="zh-CN"/>
              </w:rPr>
              <w:t>特殊困难老年人居家适老化改造</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特殊困难老年人居家适老化改造</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进一步提升我市养老服务质量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及时发放资金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提高我市的居家养老服务水平，满足特殊困难老年人需求。</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kern w:val="2"/>
                <w:sz w:val="20"/>
                <w:szCs w:val="20"/>
                <w:lang w:val="en-US" w:eastAsia="zh-CN" w:bidi="ar-SA"/>
              </w:rPr>
            </w:pPr>
            <w:r>
              <w:rPr>
                <w:rFonts w:hint="eastAsia" w:ascii="宋体" w:hAnsi="宋体" w:cs="宋体"/>
                <w:sz w:val="20"/>
                <w:szCs w:val="20"/>
                <w:lang w:eastAsia="zh-CN"/>
              </w:rPr>
              <w:t>提高我市的居家养老服务水平，满足特殊困难老年人需求。</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居家适老化改造对象满意。</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居家适老化改造对象满意。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pPr>
        <w:keepNext w:val="0"/>
        <w:keepLines w:val="0"/>
        <w:pageBreakBefore w:val="0"/>
        <w:kinsoku/>
        <w:wordWrap/>
        <w:overflowPunct/>
        <w:topLinePunct w:val="0"/>
        <w:autoSpaceDE/>
        <w:autoSpaceDN/>
        <w:bidi w:val="0"/>
        <w:spacing w:line="240" w:lineRule="auto"/>
        <w:ind w:left="0" w:leftChars="0" w:firstLine="420" w:firstLineChars="200"/>
        <w:textAlignment w:val="auto"/>
        <w:rPr>
          <w:rFonts w:hint="eastAsia" w:ascii="仿宋_GB2312" w:hAnsi="仿宋_GB2312" w:eastAsia="仿宋_GB2312" w:cs="仿宋_GB231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TimesNewRoman" w:hAnsi="TimesNewRoman" w:eastAsia="仿宋_GB2312" w:cs="TimesNewRoman"/>
          <w:kern w:val="0"/>
          <w:sz w:val="32"/>
          <w:szCs w:val="32"/>
        </w:rPr>
        <w:t>为非参照公务员法管理的事业单位，按照部门预算机关运行经费口径，</w:t>
      </w:r>
      <w:r>
        <w:rPr>
          <w:rFonts w:hint="eastAsia" w:ascii="仿宋_GB2312" w:hAnsi="仿宋_GB2312" w:eastAsia="仿宋_GB2312" w:cs="仿宋_GB2312"/>
          <w:kern w:val="0"/>
          <w:sz w:val="32"/>
          <w:szCs w:val="32"/>
          <w:lang w:val="en-US" w:eastAsia="zh-CN"/>
        </w:rPr>
        <w:t>2024</w:t>
      </w:r>
      <w:r>
        <w:rPr>
          <w:rFonts w:hint="eastAsia" w:ascii="TimesNewRoman" w:hAnsi="TimesNewRoman" w:eastAsia="仿宋_GB2312" w:cs="TimesNewRoman"/>
          <w:kern w:val="0"/>
          <w:sz w:val="32"/>
          <w:szCs w:val="32"/>
        </w:rPr>
        <w:t>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4121541"/>
    <w:rsid w:val="05935543"/>
    <w:rsid w:val="08275266"/>
    <w:rsid w:val="0B767687"/>
    <w:rsid w:val="0CC726CD"/>
    <w:rsid w:val="0E260984"/>
    <w:rsid w:val="1360648C"/>
    <w:rsid w:val="19061062"/>
    <w:rsid w:val="194D7FA1"/>
    <w:rsid w:val="1F5303D5"/>
    <w:rsid w:val="21F41F74"/>
    <w:rsid w:val="22573150"/>
    <w:rsid w:val="28444027"/>
    <w:rsid w:val="28E53263"/>
    <w:rsid w:val="2AD27FF6"/>
    <w:rsid w:val="2AE03BBA"/>
    <w:rsid w:val="2FBF7029"/>
    <w:rsid w:val="347C1074"/>
    <w:rsid w:val="380939E1"/>
    <w:rsid w:val="3BB1191E"/>
    <w:rsid w:val="3C0D3412"/>
    <w:rsid w:val="40CB7D82"/>
    <w:rsid w:val="4132224E"/>
    <w:rsid w:val="417967E7"/>
    <w:rsid w:val="454D69CF"/>
    <w:rsid w:val="45A920C8"/>
    <w:rsid w:val="477D1C51"/>
    <w:rsid w:val="49064E04"/>
    <w:rsid w:val="4F115642"/>
    <w:rsid w:val="58345AD0"/>
    <w:rsid w:val="5FD2383A"/>
    <w:rsid w:val="62A736D1"/>
    <w:rsid w:val="67993295"/>
    <w:rsid w:val="68185FDE"/>
    <w:rsid w:val="69821E2D"/>
    <w:rsid w:val="6A7570E4"/>
    <w:rsid w:val="6D217DE7"/>
    <w:rsid w:val="6FDE579B"/>
    <w:rsid w:val="71986C21"/>
    <w:rsid w:val="73E3796C"/>
    <w:rsid w:val="74FA4763"/>
    <w:rsid w:val="794D51F4"/>
    <w:rsid w:val="7B6F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center"/>
    </w:pPr>
    <w:rPr>
      <w:rFonts w:eastAsia="黑体"/>
      <w:sz w:val="36"/>
    </w:r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qFormat/>
    <w:uiPriority w:val="0"/>
    <w:pPr>
      <w:snapToGrid w:val="0"/>
      <w:spacing w:line="360" w:lineRule="auto"/>
    </w:pPr>
    <w:rPr>
      <w:rFonts w:ascii="Arial" w:hAnsi="Arial"/>
      <w:sz w:val="24"/>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autoRedefine/>
    <w:qFormat/>
    <w:uiPriority w:val="0"/>
    <w:pPr>
      <w:ind w:left="0" w:leftChars="0" w:firstLine="420" w:firstLineChars="200"/>
      <w:jc w:val="left"/>
    </w:pPr>
  </w:style>
  <w:style w:type="character" w:customStyle="1" w:styleId="12">
    <w:name w:val="页眉 Char"/>
    <w:basedOn w:val="11"/>
    <w:link w:val="7"/>
    <w:autoRedefine/>
    <w:semiHidden/>
    <w:qFormat/>
    <w:uiPriority w:val="99"/>
    <w:rPr>
      <w:sz w:val="18"/>
      <w:szCs w:val="18"/>
    </w:rPr>
  </w:style>
  <w:style w:type="character" w:customStyle="1" w:styleId="13">
    <w:name w:val="页脚 Char"/>
    <w:basedOn w:val="11"/>
    <w:link w:val="6"/>
    <w:autoRedefine/>
    <w:semiHidden/>
    <w:qFormat/>
    <w:uiPriority w:val="99"/>
    <w:rPr>
      <w:sz w:val="18"/>
      <w:szCs w:val="18"/>
    </w:rPr>
  </w:style>
  <w:style w:type="character" w:customStyle="1" w:styleId="14">
    <w:name w:val="font51"/>
    <w:basedOn w:val="11"/>
    <w:autoRedefine/>
    <w:qFormat/>
    <w:uiPriority w:val="0"/>
    <w:rPr>
      <w:rFonts w:hint="default" w:ascii="Calibri" w:hAnsi="Calibri" w:eastAsia="宋体" w:cs="Calibri"/>
      <w:color w:val="000000"/>
      <w:sz w:val="21"/>
      <w:szCs w:val="21"/>
      <w:u w:val="none"/>
    </w:rPr>
  </w:style>
  <w:style w:type="character" w:customStyle="1" w:styleId="15">
    <w:name w:val="font7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水兔子</cp:lastModifiedBy>
  <dcterms:modified xsi:type="dcterms:W3CDTF">2024-03-08T01:31:27Z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B61FAB99BAC3477DBA25BDB83572CF73_12</vt:lpwstr>
  </property>
</Properties>
</file>