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Cs w:val="32"/>
        </w:rPr>
      </w:pPr>
      <w:r>
        <w:rPr>
          <w:rFonts w:hint="eastAsia" w:ascii="黑体" w:hAnsi="黑体" w:eastAsia="黑体" w:cs="黑体"/>
          <w:szCs w:val="32"/>
        </w:rPr>
        <w:t>附件1-1</w:t>
      </w:r>
    </w:p>
    <w:p/>
    <w:p/>
    <w:p/>
    <w:p/>
    <w:p/>
    <w:p/>
    <w:p/>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rPr>
        <w:t>淮北市</w:t>
      </w:r>
      <w:r>
        <w:rPr>
          <w:rFonts w:hint="eastAsia" w:ascii="TimesNewRoman" w:hAnsi="TimesNewRoman" w:eastAsia="华文中宋" w:cs="TimesNewRoman"/>
          <w:b/>
          <w:sz w:val="44"/>
          <w:szCs w:val="44"/>
          <w:lang w:eastAsia="zh-CN"/>
        </w:rPr>
        <w:t>民政局</w:t>
      </w:r>
      <w:r>
        <w:rPr>
          <w:rFonts w:hint="eastAsia" w:ascii="方正小标宋简体" w:hAnsi="方正小标宋简体" w:eastAsia="方正小标宋简体" w:cs="方正小标宋简体"/>
          <w:b/>
          <w:sz w:val="44"/>
          <w:szCs w:val="44"/>
        </w:rPr>
        <w:t>2024</w:t>
      </w:r>
      <w:r>
        <w:rPr>
          <w:rFonts w:hint="eastAsia" w:ascii="TimesNewRoman" w:hAnsi="TimesNewRoman" w:eastAsia="华文中宋" w:cs="TimesNewRoman"/>
          <w:b/>
          <w:sz w:val="44"/>
          <w:szCs w:val="44"/>
        </w:rPr>
        <w:t>年</w:t>
      </w:r>
    </w:p>
    <w:p>
      <w:pPr>
        <w:spacing w:line="560" w:lineRule="exact"/>
        <w:jc w:val="center"/>
        <w:rPr>
          <w:rFonts w:ascii="TimesNewRoman" w:hAnsi="TimesNewRoman" w:eastAsia="华文中宋" w:cs="TimesNewRoman"/>
          <w:b/>
          <w:sz w:val="44"/>
          <w:szCs w:val="44"/>
        </w:rPr>
      </w:pPr>
      <w:r>
        <w:rPr>
          <w:rFonts w:hint="eastAsia" w:ascii="TimesNewRoman" w:hAnsi="TimesNewRoman" w:eastAsia="华文中宋" w:cs="TimesNewRoman"/>
          <w:b/>
          <w:sz w:val="44"/>
          <w:szCs w:val="44"/>
          <w:lang w:eastAsia="zh-CN"/>
        </w:rPr>
        <w:t>单位</w:t>
      </w:r>
      <w:r>
        <w:rPr>
          <w:rFonts w:hint="eastAsia" w:ascii="TimesNewRoman" w:hAnsi="TimesNewRoman" w:eastAsia="华文中宋" w:cs="TimesNewRoman"/>
          <w:b/>
          <w:sz w:val="44"/>
          <w:szCs w:val="44"/>
        </w:rPr>
        <w:t>预算</w:t>
      </w:r>
    </w:p>
    <w:p/>
    <w:p/>
    <w:p/>
    <w:p/>
    <w:p/>
    <w:p/>
    <w:p/>
    <w:p/>
    <w:p/>
    <w:p/>
    <w:p/>
    <w:p/>
    <w:p/>
    <w:p/>
    <w:p/>
    <w:p/>
    <w:p/>
    <w:p/>
    <w:p/>
    <w:p/>
    <w:p/>
    <w:p/>
    <w:p>
      <w:pPr>
        <w:pStyle w:val="8"/>
        <w:adjustRightInd w:val="0"/>
        <w:snapToGrid w:val="0"/>
        <w:spacing w:line="560" w:lineRule="exact"/>
        <w:jc w:val="center"/>
        <w:rPr>
          <w:rFonts w:ascii="TimesNewRoman" w:hAnsi="TimesNewRoman" w:eastAsia="黑体" w:cs="TimesNewRoman"/>
          <w:bCs/>
          <w:sz w:val="44"/>
          <w:szCs w:val="44"/>
        </w:rPr>
      </w:pPr>
    </w:p>
    <w:p>
      <w:pPr>
        <w:pStyle w:val="8"/>
        <w:adjustRightInd w:val="0"/>
        <w:snapToGrid w:val="0"/>
        <w:spacing w:line="560" w:lineRule="exact"/>
        <w:jc w:val="center"/>
        <w:rPr>
          <w:rFonts w:ascii="TimesNewRoman" w:hAnsi="TimesNewRoman" w:eastAsia="黑体" w:cs="TimesNewRoman"/>
          <w:bCs/>
          <w:sz w:val="44"/>
          <w:szCs w:val="44"/>
        </w:rPr>
      </w:pPr>
      <w:r>
        <w:rPr>
          <w:rFonts w:hint="eastAsia" w:ascii="黑体" w:hAnsi="黑体" w:eastAsia="黑体" w:cs="黑体"/>
          <w:bCs/>
          <w:sz w:val="44"/>
          <w:szCs w:val="44"/>
        </w:rPr>
        <w:t>2024</w:t>
      </w:r>
      <w:r>
        <w:rPr>
          <w:rFonts w:hint="eastAsia" w:ascii="TimesNewRoman" w:hAnsi="TimesNewRoman" w:eastAsia="黑体" w:cs="TimesNewRoman"/>
          <w:bCs/>
          <w:sz w:val="44"/>
          <w:szCs w:val="44"/>
        </w:rPr>
        <w:t>年</w:t>
      </w:r>
      <w:r>
        <w:rPr>
          <w:rFonts w:hint="eastAsia" w:ascii="黑体" w:hAnsi="黑体" w:eastAsia="黑体" w:cs="黑体"/>
          <w:bCs/>
          <w:sz w:val="44"/>
          <w:szCs w:val="44"/>
          <w:lang w:val="en-US" w:eastAsia="zh-CN"/>
        </w:rPr>
        <w:t>2</w:t>
      </w:r>
      <w:r>
        <w:rPr>
          <w:rFonts w:hint="eastAsia" w:ascii="TimesNewRoman" w:hAnsi="TimesNewRoman" w:eastAsia="黑体" w:cs="TimesNewRoman"/>
          <w:bCs/>
          <w:sz w:val="44"/>
          <w:szCs w:val="44"/>
        </w:rPr>
        <w:t>月</w:t>
      </w:r>
    </w:p>
    <w:p/>
    <w:p/>
    <w:p>
      <w:pPr>
        <w:pStyle w:val="8"/>
        <w:adjustRightInd w:val="0"/>
        <w:snapToGrid w:val="0"/>
        <w:spacing w:line="560" w:lineRule="exact"/>
        <w:jc w:val="center"/>
        <w:rPr>
          <w:rFonts w:ascii="TimesNewRoman" w:hAnsi="TimesNewRoman" w:eastAsia="黑体" w:cs="TimesNewRoman"/>
          <w:bCs/>
          <w:sz w:val="44"/>
          <w:szCs w:val="44"/>
        </w:rPr>
      </w:pPr>
      <w:r>
        <w:rPr>
          <w:rFonts w:hint="eastAsia" w:ascii="TimesNewRoman" w:hAnsi="TimesNewRoman" w:eastAsia="黑体" w:cs="TimesNewRoman"/>
          <w:bCs/>
          <w:sz w:val="44"/>
          <w:szCs w:val="44"/>
        </w:rPr>
        <w:t>目  录</w:t>
      </w:r>
    </w:p>
    <w:p/>
    <w:p>
      <w:pPr>
        <w:pStyle w:val="8"/>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第一部分 </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概况</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1、主要职责</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预算构成</w:t>
      </w:r>
    </w:p>
    <w:p>
      <w:pPr>
        <w:pStyle w:val="8"/>
        <w:adjustRightInd w:val="0"/>
        <w:snapToGrid w:val="0"/>
        <w:spacing w:line="400" w:lineRule="exact"/>
        <w:ind w:firstLine="800" w:firstLineChars="250"/>
        <w:rPr>
          <w:rFonts w:ascii="TimesNewRoman" w:hAnsi="TimesNewRoman" w:eastAsia="仿宋_GB2312" w:cs="TimesNewRoman"/>
          <w:bCs/>
          <w:sz w:val="32"/>
          <w:szCs w:val="32"/>
        </w:rPr>
      </w:pPr>
      <w:r>
        <w:rPr>
          <w:rFonts w:hint="eastAsia" w:ascii="仿宋_GB2312" w:hAnsi="仿宋_GB2312" w:eastAsia="仿宋_GB2312" w:cs="仿宋_GB2312"/>
          <w:bCs/>
          <w:sz w:val="32"/>
          <w:szCs w:val="32"/>
        </w:rPr>
        <w:t>3 、2024年</w:t>
      </w:r>
      <w:r>
        <w:rPr>
          <w:rFonts w:hint="eastAsia" w:ascii="TimesNewRoman" w:hAnsi="TimesNewRoman" w:eastAsia="仿宋_GB2312" w:cs="TimesNewRoman"/>
          <w:bCs/>
          <w:sz w:val="32"/>
          <w:szCs w:val="32"/>
        </w:rPr>
        <w:t>度主要工作任务</w:t>
      </w:r>
    </w:p>
    <w:p>
      <w:pPr>
        <w:pStyle w:val="8"/>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第二部分</w:t>
      </w:r>
      <w:r>
        <w:rPr>
          <w:rFonts w:hint="eastAsia" w:ascii="TimesNewRoman" w:hAnsi="TimesNewRoman" w:eastAsia="仿宋_GB2312" w:cs="TimesNewRoman"/>
          <w:b/>
          <w:sz w:val="32"/>
          <w:szCs w:val="32"/>
          <w:lang w:eastAsia="zh-CN"/>
        </w:rPr>
        <w:t xml:space="preserve">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rPr>
        <w:t>年</w:t>
      </w:r>
      <w:r>
        <w:rPr>
          <w:rFonts w:hint="eastAsia" w:ascii="TimesNewRoman" w:hAnsi="TimesNewRoman" w:eastAsia="仿宋_GB2312" w:cs="TimesNewRoman"/>
          <w:b/>
          <w:sz w:val="32"/>
          <w:szCs w:val="32"/>
          <w:lang w:eastAsia="zh-CN"/>
        </w:rPr>
        <w:t>单位</w:t>
      </w:r>
      <w:r>
        <w:rPr>
          <w:rFonts w:hint="eastAsia" w:ascii="TimesNewRoman" w:hAnsi="TimesNewRoman" w:eastAsia="仿宋_GB2312" w:cs="TimesNewRoman"/>
          <w:b/>
          <w:sz w:val="32"/>
          <w:szCs w:val="32"/>
        </w:rPr>
        <w:t>预算表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2024年收支总表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2024年收入总表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2024年支出总表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2024年财政拨款收支总表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2024年一般公共预算支出表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2024年一般公共预算基本支出表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2024年政府性基金预算支出表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2024年国有资本经营预算支出表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2024年项目支出表</w:t>
      </w:r>
    </w:p>
    <w:p>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2024年政府采购支出表</w:t>
      </w:r>
    </w:p>
    <w:p>
      <w:pPr>
        <w:pStyle w:val="8"/>
        <w:keepNext w:val="0"/>
        <w:keepLines w:val="0"/>
        <w:pageBreakBefore w:val="0"/>
        <w:widowControl/>
        <w:kinsoku/>
        <w:wordWrap/>
        <w:overflowPunct/>
        <w:topLinePunct w:val="0"/>
        <w:autoSpaceDE/>
        <w:autoSpaceDN/>
        <w:bidi w:val="0"/>
        <w:adjustRightInd w:val="0"/>
        <w:snapToGrid w:val="0"/>
        <w:spacing w:before="313" w:beforeLines="100" w:beforeAutospacing="0" w:after="251" w:afterLines="80" w:afterAutospacing="0" w:line="400" w:lineRule="exact"/>
        <w:ind w:firstLine="800" w:firstLineChars="25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2024年政府购买服务支出表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2024年通用资产配置支出表</w:t>
      </w:r>
    </w:p>
    <w:p>
      <w:pPr>
        <w:pStyle w:val="8"/>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 xml:space="preserve">第三部分 </w:t>
      </w:r>
      <w:r>
        <w:rPr>
          <w:rFonts w:hint="eastAsia" w:ascii="仿宋_GB2312" w:hAnsi="仿宋_GB2312" w:eastAsia="仿宋_GB2312" w:cs="仿宋_GB2312"/>
          <w:b/>
          <w:sz w:val="32"/>
          <w:szCs w:val="32"/>
          <w:lang w:eastAsia="zh-CN"/>
        </w:rPr>
        <w:t>2024</w:t>
      </w:r>
      <w:r>
        <w:rPr>
          <w:rFonts w:hint="eastAsia" w:ascii="TimesNewRoman" w:hAnsi="TimesNewRoman" w:eastAsia="仿宋_GB2312" w:cs="TimesNewRoman"/>
          <w:b/>
          <w:sz w:val="32"/>
          <w:szCs w:val="32"/>
          <w:lang w:eastAsia="zh-CN"/>
        </w:rPr>
        <w:t>年单位</w:t>
      </w:r>
      <w:r>
        <w:rPr>
          <w:rFonts w:hint="eastAsia" w:ascii="TimesNewRoman" w:hAnsi="TimesNewRoman" w:eastAsia="仿宋_GB2312" w:cs="TimesNewRoman"/>
          <w:b/>
          <w:sz w:val="32"/>
          <w:szCs w:val="32"/>
        </w:rPr>
        <w:t>预算情况说明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r>
        <w:rPr>
          <w:rFonts w:hint="eastAsia" w:ascii="TimesNewRoman" w:hAnsi="TimesNewRoman" w:eastAsia="仿宋_GB2312" w:cs="TimesNewRoman"/>
          <w:bCs/>
          <w:sz w:val="32"/>
          <w:szCs w:val="32"/>
        </w:rPr>
        <w:t>关于</w:t>
      </w:r>
      <w:r>
        <w:rPr>
          <w:rFonts w:hint="eastAsia" w:ascii="仿宋_GB2312" w:hAnsi="仿宋_GB2312" w:eastAsia="仿宋_GB2312" w:cs="仿宋_GB2312"/>
          <w:bCs/>
          <w:sz w:val="32"/>
          <w:szCs w:val="32"/>
        </w:rPr>
        <w:t>2024</w:t>
      </w:r>
      <w:r>
        <w:rPr>
          <w:rFonts w:hint="eastAsia" w:ascii="TimesNewRoman" w:hAnsi="TimesNewRoman" w:eastAsia="仿宋_GB2312" w:cs="TimesNewRoman"/>
          <w:bCs/>
          <w:sz w:val="32"/>
          <w:szCs w:val="32"/>
        </w:rPr>
        <w:t>年</w:t>
      </w:r>
      <w:r>
        <w:rPr>
          <w:rFonts w:hint="eastAsia" w:ascii="仿宋_GB2312" w:hAnsi="仿宋_GB2312" w:eastAsia="仿宋_GB2312" w:cs="仿宋_GB2312"/>
          <w:bCs/>
          <w:sz w:val="32"/>
          <w:szCs w:val="32"/>
        </w:rPr>
        <w:t>收支总表的说明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2、关于2024年收入总表的说明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3、关于2024年支出总表的说明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4、关于2024年财政拨款收支总表的说明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5、关于2024年一般公共预算支出表的说明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6、关于2024年一般公共预算基本支出表的说明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7、关于2024年政府性基金预算支出表的说明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8、关于2024年国有资本经营预算支出表的说明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9、关于2024年项目支出表的说明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10、关于2024年政府采购支出表的说明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11、关于2024年政府购买服务支出表的说明</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12、其他重要事项情况说明</w:t>
      </w:r>
    </w:p>
    <w:p>
      <w:pPr>
        <w:pStyle w:val="8"/>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pPr>
        <w:pStyle w:val="8"/>
        <w:adjustRightInd w:val="0"/>
        <w:snapToGrid w:val="0"/>
        <w:spacing w:line="40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预算纳入绩效考评项目表</w:t>
      </w:r>
    </w:p>
    <w:p>
      <w:pPr>
        <w:pStyle w:val="8"/>
        <w:adjustRightInd w:val="0"/>
        <w:snapToGrid w:val="0"/>
        <w:spacing w:line="400" w:lineRule="exact"/>
        <w:ind w:firstLine="800" w:firstLineChars="25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2、淮北市</w:t>
      </w:r>
      <w:r>
        <w:rPr>
          <w:rFonts w:hint="eastAsia" w:ascii="仿宋_GB2312" w:hAnsi="仿宋_GB2312" w:eastAsia="仿宋_GB2312" w:cs="仿宋_GB2312"/>
          <w:bCs/>
          <w:sz w:val="32"/>
          <w:szCs w:val="32"/>
          <w:lang w:eastAsia="zh-CN"/>
        </w:rPr>
        <w:t>民政局</w:t>
      </w:r>
      <w:r>
        <w:rPr>
          <w:rFonts w:hint="eastAsia" w:ascii="仿宋_GB2312" w:hAnsi="仿宋_GB2312" w:eastAsia="仿宋_GB2312" w:cs="仿宋_GB2312"/>
          <w:bCs/>
          <w:sz w:val="32"/>
          <w:szCs w:val="32"/>
        </w:rPr>
        <w:t>2024年</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预算专项资金管理清单（专栏公开）</w:t>
      </w:r>
    </w:p>
    <w:p>
      <w:pPr>
        <w:pStyle w:val="8"/>
        <w:adjustRightInd w:val="0"/>
        <w:snapToGrid w:val="0"/>
        <w:spacing w:line="400" w:lineRule="exact"/>
        <w:ind w:firstLine="800" w:firstLineChars="250"/>
        <w:rPr>
          <w:rFonts w:ascii="TimesNewRoman" w:hAnsi="TimesNewRoman" w:eastAsia="仿宋_GB2312" w:cs="TimesNewRoman"/>
          <w:bCs/>
          <w:sz w:val="32"/>
          <w:szCs w:val="32"/>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第一部分 </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概况</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rPr>
        <w:t>根据《中共安徽省委办公厅、安徽省人民政府办公厅关于印发《淮北市机构改革方案》的通知》（厅[2019]2号）和《中共淮北市委、淮北市人民政府关于市级机构改革的实施意见》（淮发〔2019〕2号</w:t>
      </w:r>
      <w:r>
        <w:rPr>
          <w:rFonts w:hint="eastAsia" w:ascii="仿宋_GB2312" w:eastAsia="仿宋_GB2312"/>
          <w:sz w:val="32"/>
          <w:szCs w:val="32"/>
          <w:lang w:eastAsia="zh-CN"/>
        </w:rPr>
        <w:t>）</w:t>
      </w:r>
      <w:r>
        <w:rPr>
          <w:rFonts w:hint="eastAsia" w:ascii="仿宋_GB2312" w:eastAsia="仿宋_GB2312"/>
          <w:sz w:val="32"/>
          <w:szCs w:val="32"/>
        </w:rPr>
        <w:t>。文件规定，淮北市民政局</w:t>
      </w:r>
      <w:r>
        <w:rPr>
          <w:rFonts w:hint="eastAsia" w:ascii="仿宋_GB2312" w:eastAsia="仿宋_GB2312"/>
          <w:sz w:val="32"/>
          <w:szCs w:val="32"/>
          <w:lang w:val="en-US" w:eastAsia="zh-CN"/>
        </w:rPr>
        <w:t>本</w:t>
      </w:r>
      <w:r>
        <w:rPr>
          <w:rFonts w:hint="eastAsia" w:ascii="仿宋_GB2312" w:eastAsia="仿宋_GB2312"/>
          <w:sz w:val="32"/>
          <w:szCs w:val="32"/>
          <w:lang w:val="en-US" w:eastAsia="zh-CN"/>
        </w:rPr>
        <w:t>级</w:t>
      </w:r>
      <w:r>
        <w:rPr>
          <w:rFonts w:hint="eastAsia" w:ascii="仿宋_GB2312" w:eastAsia="仿宋_GB2312"/>
          <w:sz w:val="32"/>
          <w:szCs w:val="32"/>
        </w:rPr>
        <w:t>主要职责是：</w:t>
      </w:r>
    </w:p>
    <w:p>
      <w:pPr>
        <w:ind w:firstLine="640" w:firstLineChars="200"/>
        <w:rPr>
          <w:rFonts w:hint="eastAsia" w:ascii="仿宋_GB2312" w:eastAsia="仿宋_GB2312"/>
          <w:sz w:val="32"/>
          <w:szCs w:val="32"/>
        </w:rPr>
      </w:pPr>
      <w:r>
        <w:rPr>
          <w:rFonts w:hint="eastAsia" w:ascii="仿宋_GB2312" w:eastAsia="仿宋_GB2312"/>
          <w:sz w:val="32"/>
          <w:szCs w:val="32"/>
        </w:rPr>
        <w:t>1、贯彻执行国家民政事业发展法律法规规章和政策、规划、标准，起草有关地方性法规规章草案，拟定全市民政事业发展规划和相关政策措施并组织实施和监督检查。</w:t>
      </w:r>
    </w:p>
    <w:p>
      <w:pPr>
        <w:ind w:firstLine="480" w:firstLineChars="150"/>
        <w:rPr>
          <w:rFonts w:hint="eastAsia" w:ascii="仿宋_GB2312" w:eastAsia="仿宋_GB2312"/>
          <w:sz w:val="32"/>
          <w:szCs w:val="32"/>
        </w:rPr>
      </w:pPr>
      <w:r>
        <w:rPr>
          <w:rFonts w:hint="eastAsia" w:ascii="仿宋_GB2312" w:eastAsia="仿宋_GB2312"/>
          <w:sz w:val="32"/>
          <w:szCs w:val="32"/>
        </w:rPr>
        <w:t>2、拟定社会团体、基金会、社会服务机构等社会组织登记和监督管理政策并组织实施，依法对社会组织进行登记管理和执法监督。</w:t>
      </w:r>
    </w:p>
    <w:p>
      <w:pPr>
        <w:ind w:firstLine="480" w:firstLineChars="150"/>
        <w:rPr>
          <w:rFonts w:hint="eastAsia" w:ascii="仿宋_GB2312" w:eastAsia="仿宋_GB2312"/>
          <w:sz w:val="32"/>
          <w:szCs w:val="32"/>
        </w:rPr>
      </w:pPr>
      <w:r>
        <w:rPr>
          <w:rFonts w:hint="eastAsia" w:ascii="仿宋_GB2312" w:eastAsia="仿宋_GB2312"/>
          <w:sz w:val="32"/>
          <w:szCs w:val="32"/>
        </w:rPr>
        <w:t>3、拟定社会救助政策、标准，统筹社会救助体系建设，负责城乡居民最低生活保障、特困人员救助供养、临时救助、生活无着流浪乞讨人员救助工作。</w:t>
      </w:r>
    </w:p>
    <w:p>
      <w:pPr>
        <w:ind w:firstLine="640" w:firstLineChars="200"/>
        <w:rPr>
          <w:rFonts w:hint="eastAsia" w:ascii="仿宋_GB2312" w:eastAsia="仿宋_GB2312"/>
          <w:sz w:val="32"/>
          <w:szCs w:val="32"/>
        </w:rPr>
      </w:pPr>
      <w:r>
        <w:rPr>
          <w:rFonts w:hint="eastAsia" w:ascii="仿宋_GB2312" w:eastAsia="仿宋_GB2312"/>
          <w:sz w:val="32"/>
          <w:szCs w:val="32"/>
        </w:rPr>
        <w:t>4、拟订城乡基层群众自治建设和社区治理政策措施；指导城乡社区治理体系和治理能力建设，提出加强和改进城乡基层政权建设的建议，推动基层民主政治建设。</w:t>
      </w:r>
    </w:p>
    <w:p>
      <w:pPr>
        <w:ind w:firstLine="640" w:firstLineChars="200"/>
        <w:rPr>
          <w:rFonts w:hint="eastAsia" w:ascii="仿宋_GB2312" w:eastAsia="仿宋_GB2312"/>
          <w:sz w:val="32"/>
          <w:szCs w:val="32"/>
        </w:rPr>
      </w:pPr>
      <w:r>
        <w:rPr>
          <w:rFonts w:hint="eastAsia" w:ascii="仿宋_GB2312" w:eastAsia="仿宋_GB2312"/>
          <w:sz w:val="32"/>
          <w:szCs w:val="32"/>
        </w:rPr>
        <w:t>5、负责全市乡镇以上行政区划设立、撤销、命名、变更和政府驻地迁移的审核报批工作；按规定承担行政区域界线的勘定和管理工作；负责全市地名管理工作。</w:t>
      </w:r>
    </w:p>
    <w:p>
      <w:pPr>
        <w:ind w:firstLine="480" w:firstLineChars="150"/>
        <w:rPr>
          <w:rFonts w:hint="eastAsia" w:ascii="仿宋_GB2312" w:eastAsia="仿宋_GB2312"/>
          <w:sz w:val="32"/>
          <w:szCs w:val="32"/>
        </w:rPr>
      </w:pPr>
      <w:r>
        <w:rPr>
          <w:rFonts w:hint="eastAsia" w:ascii="仿宋_GB2312" w:eastAsia="仿宋_GB2312"/>
          <w:sz w:val="32"/>
          <w:szCs w:val="32"/>
        </w:rPr>
        <w:t>6、负责全市婚姻登记管理和业务指导工作，推进婚俗改革。</w:t>
      </w:r>
    </w:p>
    <w:p>
      <w:pPr>
        <w:ind w:firstLine="480" w:firstLineChars="150"/>
        <w:rPr>
          <w:rFonts w:hint="eastAsia" w:ascii="仿宋_GB2312" w:eastAsia="仿宋_GB2312"/>
          <w:sz w:val="32"/>
          <w:szCs w:val="32"/>
        </w:rPr>
      </w:pPr>
      <w:r>
        <w:rPr>
          <w:rFonts w:hint="eastAsia" w:ascii="仿宋_GB2312" w:eastAsia="仿宋_GB2312"/>
          <w:sz w:val="32"/>
          <w:szCs w:val="32"/>
        </w:rPr>
        <w:t>7、负责全市殡葬管理和业务指导工作，推进殡葬改革。</w:t>
      </w:r>
    </w:p>
    <w:p>
      <w:pPr>
        <w:ind w:firstLine="480" w:firstLineChars="150"/>
        <w:rPr>
          <w:rFonts w:hint="eastAsia" w:ascii="仿宋_GB2312" w:eastAsia="仿宋_GB2312"/>
          <w:sz w:val="32"/>
          <w:szCs w:val="32"/>
        </w:rPr>
      </w:pPr>
      <w:r>
        <w:rPr>
          <w:rFonts w:hint="eastAsia" w:ascii="仿宋_GB2312" w:eastAsia="仿宋_GB2312"/>
          <w:sz w:val="32"/>
          <w:szCs w:val="32"/>
        </w:rPr>
        <w:t>8、统筹推进、督促指导、监督管理养老服务工作，拟订养老服务体系建设规划、政策、标准并组织实施，承担老年人福利和特殊困难老年人救助工作。</w:t>
      </w:r>
    </w:p>
    <w:p>
      <w:pPr>
        <w:ind w:firstLine="480" w:firstLineChars="150"/>
        <w:rPr>
          <w:rFonts w:hint="eastAsia" w:ascii="仿宋_GB2312" w:eastAsia="仿宋_GB2312"/>
          <w:sz w:val="32"/>
          <w:szCs w:val="32"/>
        </w:rPr>
      </w:pPr>
      <w:r>
        <w:rPr>
          <w:rFonts w:hint="eastAsia" w:ascii="仿宋_GB2312" w:eastAsia="仿宋_GB2312"/>
          <w:sz w:val="32"/>
          <w:szCs w:val="32"/>
        </w:rPr>
        <w:t>9、拟订残疾人权益保护政策，统筹推进残疾人福利制度建设和康复辅助器具产业发展。</w:t>
      </w:r>
    </w:p>
    <w:p>
      <w:pPr>
        <w:ind w:firstLine="480" w:firstLineChars="150"/>
        <w:rPr>
          <w:rFonts w:hint="eastAsia" w:ascii="仿宋_GB2312" w:eastAsia="仿宋_GB2312"/>
          <w:sz w:val="32"/>
          <w:szCs w:val="32"/>
        </w:rPr>
      </w:pPr>
      <w:r>
        <w:rPr>
          <w:rFonts w:hint="eastAsia" w:ascii="仿宋_GB2312" w:eastAsia="仿宋_GB2312"/>
          <w:sz w:val="32"/>
          <w:szCs w:val="32"/>
        </w:rPr>
        <w:t>10、拟订儿童福利、孤弃儿童保障、儿童收养、儿童救助保护政策、标准，健全农村留守儿童关爱服务体系和困境儿童保障制度，负责全市儿童收养登记和业务指导工作。</w:t>
      </w:r>
    </w:p>
    <w:p>
      <w:pPr>
        <w:ind w:firstLine="480" w:firstLineChars="150"/>
        <w:rPr>
          <w:rFonts w:hint="eastAsia" w:ascii="仿宋_GB2312" w:eastAsia="仿宋_GB2312"/>
          <w:sz w:val="32"/>
          <w:szCs w:val="32"/>
        </w:rPr>
      </w:pPr>
      <w:r>
        <w:rPr>
          <w:rFonts w:hint="eastAsia" w:ascii="仿宋_GB2312" w:eastAsia="仿宋_GB2312"/>
          <w:sz w:val="32"/>
          <w:szCs w:val="32"/>
        </w:rPr>
        <w:t>11、组织拟订促进慈善事业发展政策，指导社会捐助工作，负责全市福利彩票管理工作。</w:t>
      </w:r>
    </w:p>
    <w:p>
      <w:pPr>
        <w:ind w:firstLine="480" w:firstLineChars="150"/>
        <w:rPr>
          <w:rFonts w:hint="eastAsia" w:ascii="仿宋_GB2312" w:eastAsia="仿宋_GB2312"/>
          <w:sz w:val="32"/>
          <w:szCs w:val="32"/>
        </w:rPr>
      </w:pPr>
      <w:r>
        <w:rPr>
          <w:rFonts w:hint="eastAsia" w:ascii="仿宋_GB2312" w:eastAsia="仿宋_GB2312"/>
          <w:sz w:val="32"/>
          <w:szCs w:val="32"/>
        </w:rPr>
        <w:t>12、拟定社会工作、志愿服务政策和标准，会同有关</w:t>
      </w:r>
      <w:r>
        <w:rPr>
          <w:rFonts w:hint="eastAsia" w:ascii="仿宋_GB2312" w:eastAsia="仿宋_GB2312"/>
          <w:sz w:val="32"/>
          <w:szCs w:val="32"/>
          <w:lang w:eastAsia="zh-CN"/>
        </w:rPr>
        <w:t>单位</w:t>
      </w:r>
      <w:r>
        <w:rPr>
          <w:rFonts w:hint="eastAsia" w:ascii="仿宋_GB2312" w:eastAsia="仿宋_GB2312"/>
          <w:sz w:val="32"/>
          <w:szCs w:val="32"/>
        </w:rPr>
        <w:t>推进社会工作人才队伍建设和志愿者队伍建设，负责志愿服务行政管理工作。</w:t>
      </w:r>
    </w:p>
    <w:p>
      <w:pPr>
        <w:ind w:firstLine="480" w:firstLineChars="150"/>
        <w:rPr>
          <w:rFonts w:hint="eastAsia" w:ascii="仿宋_GB2312" w:eastAsia="仿宋_GB2312"/>
          <w:sz w:val="32"/>
          <w:szCs w:val="32"/>
        </w:rPr>
      </w:pPr>
      <w:r>
        <w:rPr>
          <w:rFonts w:hint="eastAsia" w:ascii="仿宋_GB2312" w:eastAsia="仿宋_GB2312"/>
          <w:sz w:val="32"/>
          <w:szCs w:val="32"/>
        </w:rPr>
        <w:t>13、完成市委、市政府交办的其他任务。</w:t>
      </w:r>
    </w:p>
    <w:p>
      <w:pPr>
        <w:ind w:firstLine="480" w:firstLineChars="150"/>
        <w:rPr>
          <w:rFonts w:hint="eastAsia" w:ascii="仿宋_GB2312" w:eastAsia="仿宋_GB2312"/>
          <w:sz w:val="32"/>
          <w:szCs w:val="32"/>
        </w:rPr>
      </w:pPr>
      <w:r>
        <w:rPr>
          <w:rFonts w:hint="eastAsia" w:ascii="仿宋_GB2312" w:eastAsia="仿宋_GB2312"/>
          <w:sz w:val="32"/>
          <w:szCs w:val="32"/>
        </w:rPr>
        <w:t>14、职能转变。市民政局应强化基本民生保障职能，为困难群众、孤老孤残孤儿等特殊群体提供基本社会服务，促进资源向薄弱地区、领域、环节倾斜。积极培育社会组织、社会工作者等多元参与主体，推动搭建基层社会治理和社区公共服务平台。</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w:t>
      </w:r>
      <w:r>
        <w:rPr>
          <w:rFonts w:hint="eastAsia" w:ascii="TimesNewRoman" w:hAnsi="TimesNewRoman" w:eastAsia="黑体" w:cs="TimesNewRoman"/>
          <w:bCs/>
          <w:sz w:val="32"/>
          <w:szCs w:val="32"/>
          <w:lang w:eastAsia="zh-CN"/>
        </w:rPr>
        <w:t>单位</w:t>
      </w:r>
      <w:r>
        <w:rPr>
          <w:rFonts w:hint="eastAsia" w:ascii="TimesNewRoman" w:hAnsi="TimesNewRoman" w:eastAsia="黑体" w:cs="TimesNewRoman"/>
          <w:bCs/>
          <w:sz w:val="32"/>
          <w:szCs w:val="32"/>
        </w:rPr>
        <w:t>预算构成</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w:t>
      </w:r>
      <w:r>
        <w:rPr>
          <w:rFonts w:hint="eastAsia" w:ascii="TimesNewRoman" w:hAnsi="TimesNewRoman" w:eastAsia="仿宋_GB2312" w:cs="TimesNewRoman"/>
          <w:bCs/>
          <w:sz w:val="32"/>
          <w:szCs w:val="32"/>
        </w:rPr>
        <w:t>淮北市</w:t>
      </w:r>
      <w:r>
        <w:rPr>
          <w:rFonts w:hint="eastAsia" w:ascii="TimesNewRoman" w:hAnsi="TimesNewRoman" w:eastAsia="仿宋_GB2312" w:cs="TimesNewRoman"/>
          <w:bCs/>
          <w:sz w:val="32"/>
          <w:szCs w:val="32"/>
          <w:lang w:val="en-US" w:eastAsia="zh-CN"/>
        </w:rPr>
        <w:t>民政</w:t>
      </w:r>
      <w:r>
        <w:rPr>
          <w:rFonts w:hint="eastAsia" w:ascii="TimesNewRoman" w:hAnsi="TimesNewRoman" w:eastAsia="仿宋_GB2312" w:cs="TimesNewRoman"/>
          <w:sz w:val="32"/>
          <w:szCs w:val="32"/>
          <w:lang w:val="en-US" w:eastAsia="zh-CN"/>
        </w:rPr>
        <w:t>局</w:t>
      </w:r>
      <w:r>
        <w:rPr>
          <w:rFonts w:hint="eastAsia" w:ascii="仿宋_GB2312" w:hAnsi="仿宋_GB2312" w:eastAsia="仿宋_GB2312" w:cs="仿宋_GB2312"/>
          <w:sz w:val="32"/>
          <w:szCs w:val="32"/>
          <w:lang w:val="en-US" w:eastAsia="zh-CN"/>
        </w:rPr>
        <w:t>2024</w:t>
      </w:r>
      <w:r>
        <w:rPr>
          <w:rFonts w:hint="eastAsia" w:ascii="TimesNewRoman" w:hAnsi="TimesNewRoman" w:eastAsia="仿宋_GB2312" w:cs="TimesNewRoman"/>
          <w:sz w:val="32"/>
          <w:szCs w:val="32"/>
          <w:lang w:val="en-US" w:eastAsia="zh-CN"/>
        </w:rPr>
        <w:t>年度单位</w:t>
      </w:r>
      <w:r>
        <w:rPr>
          <w:rFonts w:hint="eastAsia" w:ascii="TimesNewRoman" w:hAnsi="TimesNewRoman" w:eastAsia="仿宋_GB2312" w:cs="TimesNewRoman"/>
          <w:sz w:val="32"/>
          <w:szCs w:val="32"/>
        </w:rPr>
        <w:t>预算仅包括局本级预算，无其他下属单位预算。</w:t>
      </w:r>
    </w:p>
    <w:tbl>
      <w:tblPr>
        <w:tblStyle w:val="10"/>
        <w:tblW w:w="8540" w:type="dxa"/>
        <w:jc w:val="center"/>
        <w:tblLayout w:type="fixed"/>
        <w:tblCellMar>
          <w:top w:w="0" w:type="dxa"/>
          <w:left w:w="0" w:type="dxa"/>
          <w:bottom w:w="0" w:type="dxa"/>
          <w:right w:w="0" w:type="dxa"/>
        </w:tblCellMar>
      </w:tblPr>
      <w:tblGrid>
        <w:gridCol w:w="854"/>
        <w:gridCol w:w="3416"/>
        <w:gridCol w:w="4270"/>
      </w:tblGrid>
      <w:tr>
        <w:tblPrEx>
          <w:tblCellMar>
            <w:top w:w="0" w:type="dxa"/>
            <w:left w:w="0" w:type="dxa"/>
            <w:bottom w:w="0" w:type="dxa"/>
            <w:right w:w="0" w:type="dxa"/>
          </w:tblCellMar>
        </w:tblPrEx>
        <w:trPr>
          <w:trHeight w:val="579" w:hRule="atLeast"/>
          <w:jc w:val="center"/>
        </w:trPr>
        <w:tc>
          <w:tcPr>
            <w:tcW w:w="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序号</w:t>
            </w:r>
          </w:p>
        </w:tc>
        <w:tc>
          <w:tcPr>
            <w:tcW w:w="34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单位名称</w:t>
            </w:r>
          </w:p>
        </w:tc>
        <w:tc>
          <w:tcPr>
            <w:tcW w:w="4270" w:type="dxa"/>
            <w:tcBorders>
              <w:top w:val="single" w:color="auto" w:sz="8" w:space="0"/>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rPr>
            </w:pPr>
            <w:r>
              <w:rPr>
                <w:rFonts w:ascii="TimesNewRoman" w:hAnsi="TimesNewRoman" w:cs="TimesNewRoman"/>
                <w:sz w:val="24"/>
              </w:rPr>
              <w:t>单位性质</w:t>
            </w:r>
          </w:p>
        </w:tc>
      </w:tr>
      <w:tr>
        <w:tblPrEx>
          <w:tblCellMar>
            <w:top w:w="0" w:type="dxa"/>
            <w:left w:w="0" w:type="dxa"/>
            <w:bottom w:w="0" w:type="dxa"/>
            <w:right w:w="0" w:type="dxa"/>
          </w:tblCellMar>
        </w:tblPrEx>
        <w:trPr>
          <w:trHeight w:val="579" w:hRule="atLeast"/>
          <w:jc w:val="center"/>
        </w:trPr>
        <w:tc>
          <w:tcPr>
            <w:tcW w:w="85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34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淮北市</w:t>
            </w:r>
            <w:r>
              <w:rPr>
                <w:rFonts w:hint="eastAsia" w:ascii="TimesNewRoman" w:hAnsi="TimesNewRoman" w:cs="TimesNewRoman"/>
                <w:bCs/>
                <w:sz w:val="24"/>
                <w:lang w:eastAsia="zh-CN"/>
              </w:rPr>
              <w:t>民政局本级</w:t>
            </w:r>
          </w:p>
        </w:tc>
        <w:tc>
          <w:tcPr>
            <w:tcW w:w="4270" w:type="dxa"/>
            <w:tcBorders>
              <w:top w:val="nil"/>
              <w:left w:val="nil"/>
              <w:bottom w:val="single" w:color="auto" w:sz="8" w:space="0"/>
              <w:right w:val="single" w:color="auto" w:sz="8" w:space="0"/>
            </w:tcBorders>
            <w:shd w:val="clear" w:color="auto" w:fill="FFFFFF"/>
            <w:vAlign w:val="center"/>
          </w:tcPr>
          <w:p>
            <w:pPr>
              <w:adjustRightInd w:val="0"/>
              <w:snapToGrid w:val="0"/>
              <w:spacing w:line="560" w:lineRule="exact"/>
              <w:jc w:val="center"/>
              <w:rPr>
                <w:rFonts w:ascii="TimesNewRoman" w:hAnsi="TimesNewRoman" w:cs="TimesNewRoman"/>
                <w:sz w:val="24"/>
                <w:u w:val="single"/>
              </w:rPr>
            </w:pPr>
            <w:r>
              <w:rPr>
                <w:rFonts w:ascii="TimesNewRoman" w:hAnsi="TimesNewRoman" w:cs="TimesNewRoman"/>
                <w:bCs/>
                <w:sz w:val="24"/>
              </w:rPr>
              <w:t>行政单位</w:t>
            </w:r>
          </w:p>
        </w:tc>
      </w:tr>
    </w:tbl>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w:t>
      </w:r>
      <w:r>
        <w:rPr>
          <w:rFonts w:hint="eastAsia" w:ascii="黑体" w:hAnsi="黑体" w:eastAsia="黑体" w:cs="黑体"/>
          <w:bCs/>
          <w:sz w:val="32"/>
          <w:szCs w:val="32"/>
        </w:rPr>
        <w:t>2024年</w:t>
      </w:r>
      <w:r>
        <w:rPr>
          <w:rFonts w:hint="eastAsia" w:ascii="TimesNewRoman" w:hAnsi="TimesNewRoman" w:eastAsia="黑体" w:cs="TimesNewRoman"/>
          <w:bCs/>
          <w:sz w:val="32"/>
          <w:szCs w:val="32"/>
        </w:rPr>
        <w:t>度主要工作任务</w:t>
      </w:r>
    </w:p>
    <w:p>
      <w:pPr>
        <w:keepNext w:val="0"/>
        <w:keepLines w:val="0"/>
        <w:pageBreakBefore w:val="0"/>
        <w:widowControl w:val="0"/>
        <w:kinsoku/>
        <w:wordWrap/>
        <w:overflowPunct/>
        <w:topLinePunct/>
        <w:autoSpaceDE/>
        <w:autoSpaceDN/>
        <w:bidi w:val="0"/>
        <w:adjustRightInd w:val="0"/>
        <w:snapToGrid w:val="0"/>
        <w:spacing w:line="560" w:lineRule="exact"/>
        <w:ind w:left="0" w:leftChars="0" w:firstLine="656" w:firstLineChars="200"/>
        <w:textAlignment w:val="auto"/>
        <w:rPr>
          <w:rFonts w:hint="default" w:ascii="Times New Roman" w:hAnsi="Times New Roman" w:eastAsia="仿宋_GB2312" w:cs="Times New Roman"/>
          <w:spacing w:val="4"/>
          <w:kern w:val="2"/>
          <w:sz w:val="32"/>
          <w:szCs w:val="32"/>
          <w:lang w:val="en-US" w:eastAsia="zh-CN" w:bidi="ar-SA"/>
        </w:rPr>
      </w:pPr>
      <w:r>
        <w:rPr>
          <w:rFonts w:hint="eastAsia" w:ascii="Times New Roman" w:hAnsi="Times New Roman" w:eastAsia="仿宋_GB2312" w:cs="Times New Roman"/>
          <w:spacing w:val="4"/>
          <w:kern w:val="2"/>
          <w:sz w:val="32"/>
          <w:szCs w:val="32"/>
          <w:lang w:val="en-US" w:eastAsia="zh-CN" w:bidi="ar-SA"/>
        </w:rPr>
        <w:t>2024年，</w:t>
      </w:r>
      <w:r>
        <w:rPr>
          <w:rFonts w:hint="default" w:ascii="Times New Roman" w:hAnsi="Times New Roman" w:eastAsia="仿宋_GB2312" w:cs="Times New Roman"/>
          <w:spacing w:val="4"/>
          <w:kern w:val="2"/>
          <w:sz w:val="32"/>
          <w:szCs w:val="32"/>
          <w:lang w:val="en-US" w:eastAsia="zh-CN" w:bidi="ar-SA"/>
        </w:rPr>
        <w:t>市民政局将</w:t>
      </w:r>
      <w:r>
        <w:rPr>
          <w:rFonts w:hint="eastAsia" w:ascii="Times New Roman" w:hAnsi="Times New Roman" w:eastAsia="仿宋_GB2312" w:cs="Times New Roman"/>
          <w:spacing w:val="4"/>
          <w:kern w:val="2"/>
          <w:sz w:val="32"/>
          <w:szCs w:val="32"/>
          <w:lang w:val="en-US" w:eastAsia="zh-CN" w:bidi="ar-SA"/>
        </w:rPr>
        <w:t>围绕持续深化</w:t>
      </w:r>
      <w:r>
        <w:rPr>
          <w:rFonts w:hint="default" w:ascii="Times New Roman" w:hAnsi="Times New Roman" w:eastAsia="仿宋_GB2312" w:cs="Times New Roman"/>
          <w:spacing w:val="4"/>
          <w:kern w:val="2"/>
          <w:sz w:val="32"/>
          <w:szCs w:val="32"/>
          <w:lang w:val="en-US" w:eastAsia="zh-CN" w:bidi="ar-SA"/>
        </w:rPr>
        <w:t>学习习近平新时代中国特色社会主义思想</w:t>
      </w:r>
      <w:r>
        <w:rPr>
          <w:rFonts w:hint="eastAsia" w:ascii="Times New Roman" w:hAnsi="Times New Roman" w:eastAsia="仿宋_GB2312" w:cs="Times New Roman"/>
          <w:spacing w:val="4"/>
          <w:kern w:val="2"/>
          <w:sz w:val="32"/>
          <w:szCs w:val="32"/>
          <w:lang w:val="en-US" w:eastAsia="zh-CN" w:bidi="ar-SA"/>
        </w:rPr>
        <w:t>，</w:t>
      </w:r>
      <w:r>
        <w:rPr>
          <w:rFonts w:hint="default" w:ascii="Times New Roman" w:hAnsi="Times New Roman" w:eastAsia="仿宋_GB2312" w:cs="Times New Roman"/>
          <w:spacing w:val="4"/>
          <w:kern w:val="2"/>
          <w:sz w:val="32"/>
          <w:szCs w:val="32"/>
          <w:lang w:val="en-US" w:eastAsia="zh-CN" w:bidi="ar-SA"/>
        </w:rPr>
        <w:t>加强改进作风，紧盯</w:t>
      </w:r>
      <w:r>
        <w:rPr>
          <w:rFonts w:hint="eastAsia" w:ascii="Times New Roman" w:hAnsi="Times New Roman" w:eastAsia="仿宋_GB2312" w:cs="Times New Roman"/>
          <w:spacing w:val="4"/>
          <w:kern w:val="2"/>
          <w:sz w:val="32"/>
          <w:szCs w:val="32"/>
          <w:lang w:val="en-US" w:eastAsia="zh-CN" w:bidi="ar-SA"/>
        </w:rPr>
        <w:t>目标任务</w:t>
      </w:r>
      <w:r>
        <w:rPr>
          <w:rFonts w:hint="default" w:ascii="Times New Roman" w:hAnsi="Times New Roman" w:eastAsia="仿宋_GB2312" w:cs="Times New Roman"/>
          <w:spacing w:val="4"/>
          <w:kern w:val="2"/>
          <w:sz w:val="32"/>
          <w:szCs w:val="32"/>
          <w:lang w:val="en-US" w:eastAsia="zh-CN" w:bidi="ar-SA"/>
        </w:rPr>
        <w:t>，拉高工作标杆，确保</w:t>
      </w:r>
      <w:r>
        <w:rPr>
          <w:rFonts w:hint="eastAsia" w:ascii="Times New Roman" w:hAnsi="Times New Roman" w:eastAsia="仿宋_GB2312" w:cs="Times New Roman"/>
          <w:spacing w:val="4"/>
          <w:kern w:val="2"/>
          <w:sz w:val="32"/>
          <w:szCs w:val="32"/>
          <w:lang w:val="en-US" w:eastAsia="zh-CN" w:bidi="ar-SA"/>
        </w:rPr>
        <w:t>各项任务完成</w:t>
      </w:r>
      <w:r>
        <w:rPr>
          <w:rFonts w:hint="default" w:ascii="Times New Roman" w:hAnsi="Times New Roman" w:eastAsia="仿宋_GB2312" w:cs="Times New Roman"/>
          <w:spacing w:val="4"/>
          <w:kern w:val="2"/>
          <w:sz w:val="32"/>
          <w:szCs w:val="32"/>
          <w:lang w:val="en-US" w:eastAsia="zh-CN" w:bidi="ar-SA"/>
        </w:rPr>
        <w:t>，确保争先进位。</w:t>
      </w:r>
    </w:p>
    <w:p>
      <w:pPr>
        <w:bidi w:val="0"/>
        <w:ind w:firstLine="321" w:firstLineChars="100"/>
        <w:rPr>
          <w:rFonts w:hint="eastAsia" w:ascii="Times New Roman" w:hAnsi="Times New Roman" w:eastAsia="仿宋_GB2312" w:cs="Times New Roman"/>
          <w:b w:val="0"/>
          <w:bCs w:val="0"/>
          <w:color w:val="000000"/>
          <w:kern w:val="2"/>
          <w:sz w:val="32"/>
          <w:szCs w:val="32"/>
          <w:shd w:val="clear" w:color="auto" w:fill="FFFFFF"/>
          <w:lang w:val="en-US" w:eastAsia="zh-CN" w:bidi="ar-SA"/>
        </w:rPr>
      </w:pPr>
      <w:r>
        <w:rPr>
          <w:rFonts w:hint="default" w:ascii="Times New Roman" w:hAnsi="Times New Roman" w:eastAsia="楷体" w:cs="Times New Roman"/>
          <w:b/>
          <w:bCs/>
          <w:snapToGrid w:val="0"/>
          <w:kern w:val="2"/>
          <w:sz w:val="32"/>
          <w:szCs w:val="32"/>
          <w:lang w:val="en-US" w:eastAsia="zh-CN" w:bidi="ar-SA"/>
        </w:rPr>
        <w:t>（</w:t>
      </w:r>
      <w:r>
        <w:rPr>
          <w:rFonts w:hint="eastAsia" w:ascii="Times New Roman" w:hAnsi="Times New Roman" w:eastAsia="楷体" w:cs="Times New Roman"/>
          <w:b/>
          <w:bCs/>
          <w:snapToGrid w:val="0"/>
          <w:kern w:val="2"/>
          <w:sz w:val="32"/>
          <w:szCs w:val="32"/>
          <w:lang w:val="en-US" w:eastAsia="zh-CN" w:bidi="ar-SA"/>
        </w:rPr>
        <w:t>一</w:t>
      </w:r>
      <w:r>
        <w:rPr>
          <w:rFonts w:hint="default" w:ascii="Times New Roman" w:hAnsi="Times New Roman" w:eastAsia="楷体" w:cs="Times New Roman"/>
          <w:b/>
          <w:bCs/>
          <w:snapToGrid w:val="0"/>
          <w:kern w:val="2"/>
          <w:sz w:val="32"/>
          <w:szCs w:val="32"/>
          <w:lang w:val="en-US" w:eastAsia="zh-CN" w:bidi="ar-SA"/>
        </w:rPr>
        <w:t>）进一步解决好困难群众急难愁盼问题。</w:t>
      </w:r>
      <w:r>
        <w:rPr>
          <w:rFonts w:hint="default" w:ascii="Times New Roman" w:hAnsi="Times New Roman" w:eastAsia="仿宋_GB2312" w:cs="Times New Roman"/>
          <w:sz w:val="32"/>
          <w:szCs w:val="32"/>
          <w:lang w:val="en-US" w:eastAsia="zh-CN"/>
        </w:rPr>
        <w:t>合理确定低收入人口覆盖面，全面稳住低收入人口尤其是低保、特困人口，加大低保边缘家庭、刚性支出型困难家庭人口的认定，发挥好社会救助联席会议作用，统筹8+1+N分层分类救助政策，及时进行救助帮扶。继续探索创新衔接并轨模式，加强与乡村振兴</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的联系对接，共同制定科学合理的低收入人口认定体系，把防止返贫监测对象的监测帮扶变成常态化的救助帮扶工作。把淮慈救助信息平台使用好，把</w:t>
      </w:r>
      <w:r>
        <w:rPr>
          <w:rFonts w:hint="default" w:ascii="Times New Roman" w:hAnsi="Times New Roman" w:eastAsia="仿宋_GB2312" w:cs="Times New Roman"/>
          <w:i w:val="0"/>
          <w:iCs w:val="0"/>
          <w:caps w:val="0"/>
          <w:color w:val="auto"/>
          <w:spacing w:val="0"/>
          <w:sz w:val="32"/>
          <w:szCs w:val="32"/>
          <w:shd w:val="clear" w:color="auto" w:fill="FFFFFF"/>
          <w:vertAlign w:val="baseline"/>
          <w:lang w:val="en-US" w:eastAsia="zh-CN"/>
        </w:rPr>
        <w:t>“救急难互助社”的作用发挥好，不断提升“政府+慈善”救助质效，实现多元化救助。</w:t>
      </w:r>
    </w:p>
    <w:p>
      <w:pPr>
        <w:keepNext w:val="0"/>
        <w:keepLines w:val="0"/>
        <w:pageBreakBefore w:val="0"/>
        <w:widowControl w:val="0"/>
        <w:kinsoku/>
        <w:wordWrap/>
        <w:overflowPunct/>
        <w:topLinePunct/>
        <w:autoSpaceDE/>
        <w:autoSpaceDN/>
        <w:bidi w:val="0"/>
        <w:adjustRightInd w:val="0"/>
        <w:spacing w:line="560" w:lineRule="exact"/>
        <w:ind w:firstLine="478" w:firstLineChars="149"/>
        <w:rPr>
          <w:rFonts w:hint="eastAsia" w:ascii="Times New Roman" w:hAnsi="Times New Roman" w:eastAsia="仿宋_GB2312" w:cs="Times New Roman"/>
          <w:color w:val="auto"/>
          <w:sz w:val="32"/>
          <w:szCs w:val="32"/>
          <w:lang w:val="en-US" w:eastAsia="zh-CN"/>
        </w:rPr>
      </w:pPr>
      <w:r>
        <w:rPr>
          <w:rFonts w:hint="default" w:ascii="Times New Roman" w:hAnsi="Times New Roman" w:eastAsia="楷体" w:cs="Times New Roman"/>
          <w:b/>
          <w:bCs/>
          <w:snapToGrid w:val="0"/>
          <w:kern w:val="2"/>
          <w:sz w:val="32"/>
          <w:szCs w:val="32"/>
          <w:lang w:val="en-US" w:eastAsia="zh-CN" w:bidi="ar-SA"/>
        </w:rPr>
        <w:t>（</w:t>
      </w:r>
      <w:r>
        <w:rPr>
          <w:rFonts w:hint="eastAsia" w:ascii="Times New Roman" w:hAnsi="Times New Roman" w:eastAsia="楷体" w:cs="Times New Roman"/>
          <w:b/>
          <w:bCs/>
          <w:snapToGrid w:val="0"/>
          <w:kern w:val="2"/>
          <w:sz w:val="32"/>
          <w:szCs w:val="32"/>
          <w:lang w:val="en-US" w:eastAsia="zh-CN" w:bidi="ar-SA"/>
        </w:rPr>
        <w:t>二</w:t>
      </w:r>
      <w:r>
        <w:rPr>
          <w:rFonts w:hint="default" w:ascii="Times New Roman" w:hAnsi="Times New Roman" w:eastAsia="楷体" w:cs="Times New Roman"/>
          <w:b/>
          <w:bCs/>
          <w:snapToGrid w:val="0"/>
          <w:kern w:val="2"/>
          <w:sz w:val="32"/>
          <w:szCs w:val="32"/>
          <w:lang w:val="en-US" w:eastAsia="zh-CN" w:bidi="ar-SA"/>
        </w:rPr>
        <w:t>）进一步健全养老服务体系。</w:t>
      </w:r>
      <w:r>
        <w:rPr>
          <w:rFonts w:hint="eastAsia" w:ascii="仿宋_GB2312" w:hAnsi="仿宋_GB2312" w:eastAsia="仿宋_GB2312" w:cs="仿宋_GB2312"/>
          <w:sz w:val="32"/>
          <w:szCs w:val="32"/>
          <w:lang w:val="en-US" w:eastAsia="zh-CN"/>
        </w:rPr>
        <w:t>切实发挥全市养老服务领导小组的统筹协调作用，加快推进我市养老服务体系建设。落实《淮北市居家养老服务条例》，落实《淮北市人民政府办公室关于加快促进养老产业发展的意见》文件精神，不断满足老年人日益增长的多层次、高品质养老服务需求。</w:t>
      </w:r>
      <w:r>
        <w:rPr>
          <w:rFonts w:hint="default" w:ascii="Times New Roman" w:hAnsi="Times New Roman" w:eastAsia="仿宋_GB2312" w:cs="Times New Roman"/>
          <w:color w:val="auto"/>
          <w:sz w:val="32"/>
          <w:szCs w:val="32"/>
          <w:lang w:val="en-US" w:eastAsia="zh-CN"/>
        </w:rPr>
        <w:t>加大“双招双引”力度，</w:t>
      </w:r>
      <w:r>
        <w:rPr>
          <w:rFonts w:hint="eastAsia" w:ascii="Times New Roman" w:hAnsi="Times New Roman" w:eastAsia="仿宋_GB2312" w:cs="Times New Roman"/>
          <w:color w:val="auto"/>
          <w:sz w:val="32"/>
          <w:szCs w:val="32"/>
          <w:lang w:val="en-US" w:eastAsia="zh-CN"/>
        </w:rPr>
        <w:t>围绕生命健康产业</w:t>
      </w:r>
      <w:r>
        <w:rPr>
          <w:rFonts w:hint="default" w:ascii="Times New Roman" w:hAnsi="Times New Roman" w:eastAsia="仿宋_GB2312" w:cs="Times New Roman"/>
          <w:color w:val="auto"/>
          <w:sz w:val="32"/>
          <w:szCs w:val="32"/>
          <w:lang w:val="en-US" w:eastAsia="zh-CN"/>
        </w:rPr>
        <w:t>实行全链条精准招商，推动养老产业和养老事业协同发展。</w:t>
      </w:r>
      <w:r>
        <w:rPr>
          <w:rFonts w:hint="eastAsia" w:ascii="Times New Roman" w:hAnsi="Times New Roman" w:eastAsia="仿宋_GB2312" w:cs="Times New Roman"/>
          <w:color w:val="auto"/>
          <w:sz w:val="32"/>
          <w:szCs w:val="32"/>
          <w:lang w:val="en-US" w:eastAsia="zh-CN"/>
        </w:rPr>
        <w:t>加强项目谋划与建设力度，持续</w:t>
      </w:r>
      <w:r>
        <w:rPr>
          <w:rFonts w:hint="default" w:ascii="Times New Roman" w:hAnsi="Times New Roman" w:eastAsia="仿宋_GB2312" w:cs="Times New Roman"/>
          <w:color w:val="auto"/>
          <w:sz w:val="32"/>
          <w:szCs w:val="32"/>
          <w:lang w:val="en-US" w:eastAsia="zh-CN"/>
        </w:rPr>
        <w:t>推进银华康养综合服务中心、烈山区养老服务中心、杜集区区级特困失能照护中心、相山区敬老院改造提升等项目。</w:t>
      </w:r>
      <w:r>
        <w:rPr>
          <w:rFonts w:hint="eastAsia" w:ascii="Times New Roman" w:hAnsi="Times New Roman" w:eastAsia="仿宋" w:cs="Times New Roman"/>
          <w:b w:val="0"/>
          <w:bCs w:val="0"/>
          <w:color w:val="auto"/>
          <w:sz w:val="32"/>
          <w:szCs w:val="32"/>
          <w:lang w:val="en-US" w:eastAsia="zh-CN"/>
        </w:rPr>
        <w:t>大力发展“嵌入式”养老机构，计划新建8个，综合提升3个“嵌入式”养老机构</w:t>
      </w:r>
      <w:r>
        <w:rPr>
          <w:rFonts w:hint="default" w:ascii="Times New Roman" w:hAnsi="Times New Roman" w:eastAsia="仿宋_GB2312"/>
          <w:color w:val="000000"/>
          <w:sz w:val="32"/>
          <w:szCs w:val="32"/>
          <w:lang w:val="en-US" w:eastAsia="zh-CN"/>
        </w:rPr>
        <w:t>。</w:t>
      </w:r>
      <w:r>
        <w:rPr>
          <w:rFonts w:hint="eastAsia" w:ascii="Times New Roman" w:hAnsi="Times New Roman" w:eastAsia="仿宋_GB2312" w:cs="Times New Roman"/>
          <w:color w:val="auto"/>
          <w:sz w:val="32"/>
          <w:szCs w:val="32"/>
          <w:lang w:val="en-US" w:eastAsia="zh-CN"/>
        </w:rPr>
        <w:t>落实高龄津贴、特殊困难老年人居家养老服务等老年人福利政策。开展老年助餐行动，建立健全长效机制，促进老年助餐服务提质增效。有效开展特殊困难老年人探访关爱服务，整合多方资源，提高探访关爱能力。加快推进特殊困难老年人家庭适老化改造，完成“十四五”总任务数的 85%以上。</w:t>
      </w:r>
    </w:p>
    <w:p>
      <w:pPr>
        <w:keepNext w:val="0"/>
        <w:keepLines w:val="0"/>
        <w:pageBreakBefore w:val="0"/>
        <w:widowControl w:val="0"/>
        <w:kinsoku/>
        <w:wordWrap/>
        <w:overflowPunct w:val="0"/>
        <w:topLinePunct/>
        <w:autoSpaceDE/>
        <w:autoSpaceDN/>
        <w:bidi w:val="0"/>
        <w:adjustRightInd w:val="0"/>
        <w:snapToGrid w:val="0"/>
        <w:spacing w:line="580" w:lineRule="exact"/>
        <w:ind w:firstLine="642" w:firstLineChars="200"/>
        <w:textAlignment w:val="auto"/>
        <w:rPr>
          <w:rFonts w:ascii="Times New Roman" w:hAnsi="Times New Roman" w:eastAsia="仿宋_GB2312" w:cs="Times New Roman"/>
          <w:color w:val="000000"/>
          <w:sz w:val="32"/>
          <w:szCs w:val="32"/>
        </w:rPr>
      </w:pPr>
      <w:r>
        <w:rPr>
          <w:rFonts w:hint="eastAsia" w:ascii="楷体" w:hAnsi="楷体" w:eastAsia="楷体" w:cs="楷体"/>
          <w:b/>
          <w:bCs w:val="0"/>
          <w:color w:val="000000" w:themeColor="text1"/>
          <w:spacing w:val="0"/>
          <w:sz w:val="32"/>
          <w:szCs w:val="32"/>
          <w:lang w:val="en-US" w:eastAsia="zh-CN"/>
        </w:rPr>
        <w:t>（三）进一步加强村（居）规范化建设。</w:t>
      </w:r>
      <w:r>
        <w:rPr>
          <w:rFonts w:hint="default" w:ascii="Times New Roman" w:hAnsi="Times New Roman" w:eastAsia="仿宋_GB2312" w:cs="Times New Roman"/>
          <w:color w:val="000000" w:themeColor="text1"/>
          <w:spacing w:val="0"/>
          <w:kern w:val="2"/>
          <w:sz w:val="32"/>
          <w:szCs w:val="32"/>
          <w:lang w:val="en-US" w:eastAsia="zh-CN" w:bidi="ar-SA"/>
        </w:rPr>
        <w:t>加大村（社区）“去行政化”力度，不断强化村（社区）服务功能，充分发挥城乡社区自我管理、自我教育、自我服务的能动作用，</w:t>
      </w:r>
      <w:r>
        <w:rPr>
          <w:rFonts w:hint="default" w:ascii="Times New Roman" w:hAnsi="Times New Roman" w:eastAsia="仿宋_GB2312" w:cs="Times New Roman"/>
          <w:color w:val="000000" w:themeColor="text1"/>
          <w:spacing w:val="0"/>
          <w:sz w:val="32"/>
          <w:szCs w:val="32"/>
        </w:rPr>
        <w:t>严格</w:t>
      </w:r>
      <w:r>
        <w:rPr>
          <w:rFonts w:hint="default" w:ascii="Times New Roman" w:hAnsi="Times New Roman" w:eastAsia="仿宋_GB2312" w:cs="Times New Roman"/>
          <w:color w:val="000000" w:themeColor="text1"/>
          <w:spacing w:val="0"/>
          <w:sz w:val="32"/>
          <w:szCs w:val="32"/>
          <w:lang w:eastAsia="zh-CN"/>
        </w:rPr>
        <w:t>落实城乡</w:t>
      </w:r>
      <w:r>
        <w:rPr>
          <w:rFonts w:hint="default" w:ascii="Times New Roman" w:hAnsi="Times New Roman" w:eastAsia="仿宋_GB2312" w:cs="Times New Roman"/>
          <w:color w:val="000000" w:themeColor="text1"/>
          <w:spacing w:val="0"/>
          <w:sz w:val="32"/>
          <w:szCs w:val="32"/>
        </w:rPr>
        <w:t>社区事务清单制度，按照“权随责走、费随事转”原则，有效防止政府职能</w:t>
      </w:r>
      <w:r>
        <w:rPr>
          <w:rFonts w:hint="eastAsia" w:ascii="Times New Roman" w:hAnsi="Times New Roman" w:eastAsia="仿宋_GB2312" w:cs="Times New Roman"/>
          <w:color w:val="000000" w:themeColor="text1"/>
          <w:spacing w:val="0"/>
          <w:sz w:val="32"/>
          <w:szCs w:val="32"/>
          <w:lang w:eastAsia="zh-CN"/>
        </w:rPr>
        <w:t>单位</w:t>
      </w:r>
      <w:r>
        <w:rPr>
          <w:rFonts w:hint="default" w:ascii="Times New Roman" w:hAnsi="Times New Roman" w:eastAsia="仿宋_GB2312" w:cs="Times New Roman"/>
          <w:color w:val="000000" w:themeColor="text1"/>
          <w:spacing w:val="0"/>
          <w:sz w:val="32"/>
          <w:szCs w:val="32"/>
        </w:rPr>
        <w:t>把“权力下放”异化为“职责下放”，切实减轻社区负担。</w:t>
      </w:r>
      <w:r>
        <w:rPr>
          <w:rFonts w:ascii="Times New Roman" w:hAnsi="Times New Roman" w:eastAsia="仿宋_GB2312" w:cs="Times New Roman"/>
          <w:color w:val="000000" w:themeColor="text1"/>
          <w:sz w:val="32"/>
          <w:szCs w:val="32"/>
        </w:rPr>
        <w:t>不断完善保障监督机制</w:t>
      </w:r>
      <w:r>
        <w:rPr>
          <w:rFonts w:hint="eastAsia" w:ascii="Times New Roman" w:hAnsi="Times New Roman" w:eastAsia="仿宋_GB2312" w:cs="Times New Roman"/>
          <w:color w:val="000000" w:themeColor="text1"/>
          <w:sz w:val="32"/>
          <w:szCs w:val="32"/>
          <w:lang w:eastAsia="zh-CN"/>
        </w:rPr>
        <w:t>，加强</w:t>
      </w:r>
      <w:r>
        <w:rPr>
          <w:rFonts w:ascii="Times New Roman" w:hAnsi="Times New Roman" w:eastAsia="仿宋_GB2312" w:cs="Times New Roman"/>
          <w:color w:val="000000" w:themeColor="text1"/>
          <w:sz w:val="32"/>
          <w:szCs w:val="32"/>
        </w:rPr>
        <w:t>对省级村务公开标准化试点工作情况实地督察，</w:t>
      </w:r>
      <w:r>
        <w:rPr>
          <w:rFonts w:hint="eastAsia" w:ascii="Times New Roman" w:hAnsi="Times New Roman" w:eastAsia="仿宋_GB2312" w:cs="Times New Roman"/>
          <w:color w:val="000000" w:themeColor="text1"/>
          <w:sz w:val="32"/>
          <w:szCs w:val="32"/>
          <w:lang w:eastAsia="zh-CN"/>
        </w:rPr>
        <w:t>着力</w:t>
      </w:r>
      <w:r>
        <w:rPr>
          <w:rFonts w:ascii="Times New Roman" w:hAnsi="Times New Roman" w:eastAsia="仿宋_GB2312" w:cs="Times New Roman"/>
          <w:color w:val="000000" w:themeColor="text1"/>
          <w:sz w:val="32"/>
          <w:szCs w:val="32"/>
        </w:rPr>
        <w:t>提升试点单位村务公开工作规范化水平，促进村务公开标准化试点工作做到内容规范、时间规范、程序规范、形式规范、阵地规范。</w:t>
      </w:r>
      <w:r>
        <w:rPr>
          <w:rFonts w:hint="eastAsia" w:ascii="Times New Roman" w:hAnsi="Times New Roman" w:eastAsia="仿宋_GB2312" w:cs="Times New Roman"/>
          <w:color w:val="000000"/>
          <w:sz w:val="32"/>
          <w:szCs w:val="32"/>
          <w:lang w:eastAsia="zh-CN"/>
        </w:rPr>
        <w:t>不断激发</w:t>
      </w:r>
      <w:r>
        <w:rPr>
          <w:rFonts w:ascii="Times New Roman" w:hAnsi="Times New Roman" w:eastAsia="仿宋_GB2312" w:cs="Times New Roman"/>
          <w:color w:val="000000"/>
          <w:sz w:val="32"/>
          <w:szCs w:val="32"/>
        </w:rPr>
        <w:t>县（区）健全基层党组织领导、村（居）民委员会负责，各类协商主体共同参与的城乡协商工作机制，</w:t>
      </w:r>
      <w:r>
        <w:rPr>
          <w:rFonts w:hint="eastAsia" w:ascii="Times New Roman" w:hAnsi="Times New Roman" w:eastAsia="仿宋_GB2312" w:cs="Times New Roman"/>
          <w:color w:val="000000"/>
          <w:sz w:val="32"/>
          <w:szCs w:val="32"/>
          <w:lang w:eastAsia="zh-CN"/>
        </w:rPr>
        <w:t>着力拓展村（居）参与民主管理路径，</w:t>
      </w:r>
      <w:r>
        <w:rPr>
          <w:rFonts w:ascii="Times New Roman" w:hAnsi="Times New Roman" w:eastAsia="仿宋_GB2312" w:cs="Times New Roman"/>
          <w:color w:val="000000"/>
          <w:sz w:val="32"/>
          <w:szCs w:val="32"/>
        </w:rPr>
        <w:t>推进城乡社区</w:t>
      </w:r>
      <w:r>
        <w:rPr>
          <w:rFonts w:hint="eastAsia" w:ascii="Times New Roman" w:hAnsi="Times New Roman" w:eastAsia="仿宋_GB2312" w:cs="Times New Roman"/>
          <w:color w:val="000000"/>
          <w:sz w:val="32"/>
          <w:szCs w:val="32"/>
          <w:lang w:eastAsia="zh-CN"/>
        </w:rPr>
        <w:t>议事</w:t>
      </w:r>
      <w:r>
        <w:rPr>
          <w:rFonts w:ascii="Times New Roman" w:hAnsi="Times New Roman" w:eastAsia="仿宋_GB2312" w:cs="Times New Roman"/>
          <w:color w:val="000000"/>
          <w:sz w:val="32"/>
          <w:szCs w:val="32"/>
        </w:rPr>
        <w:t>协商规范化、程序化，</w:t>
      </w:r>
      <w:r>
        <w:rPr>
          <w:rFonts w:hint="eastAsia" w:ascii="Times New Roman" w:hAnsi="Times New Roman" w:eastAsia="仿宋_GB2312" w:cs="Times New Roman"/>
          <w:color w:val="000000"/>
          <w:sz w:val="32"/>
          <w:szCs w:val="32"/>
          <w:lang w:eastAsia="zh-CN"/>
        </w:rPr>
        <w:t>确保村（居）民议事协商内容更丰富，</w:t>
      </w:r>
      <w:r>
        <w:rPr>
          <w:rFonts w:ascii="Times New Roman" w:hAnsi="Times New Roman" w:eastAsia="仿宋_GB2312" w:cs="Times New Roman"/>
          <w:color w:val="000000"/>
          <w:sz w:val="32"/>
          <w:szCs w:val="32"/>
        </w:rPr>
        <w:t>参与城乡社区治理渠道</w:t>
      </w:r>
      <w:r>
        <w:rPr>
          <w:rFonts w:hint="eastAsia" w:ascii="Times New Roman" w:hAnsi="Times New Roman" w:eastAsia="仿宋_GB2312" w:cs="Times New Roman"/>
          <w:color w:val="000000"/>
          <w:sz w:val="32"/>
          <w:szCs w:val="32"/>
          <w:lang w:eastAsia="zh-CN"/>
        </w:rPr>
        <w:t>更广泛</w:t>
      </w:r>
      <w:r>
        <w:rPr>
          <w:rFonts w:ascii="Times New Roman" w:hAnsi="Times New Roman" w:eastAsia="仿宋_GB2312" w:cs="Times New Roman"/>
          <w:color w:val="000000"/>
          <w:sz w:val="32"/>
          <w:szCs w:val="32"/>
        </w:rPr>
        <w:t>。</w:t>
      </w:r>
    </w:p>
    <w:p>
      <w:pPr>
        <w:keepNext w:val="0"/>
        <w:keepLines w:val="0"/>
        <w:pageBreakBefore w:val="0"/>
        <w:widowControl w:val="0"/>
        <w:kinsoku/>
        <w:wordWrap/>
        <w:overflowPunct/>
        <w:topLinePunct/>
        <w:autoSpaceDE/>
        <w:autoSpaceDN/>
        <w:bidi w:val="0"/>
        <w:spacing w:line="580" w:lineRule="exact"/>
        <w:ind w:firstLine="642" w:firstLineChars="200"/>
        <w:textAlignment w:val="auto"/>
        <w:rPr>
          <w:rFonts w:hint="eastAsia" w:ascii="Times New Roman" w:hAnsi="Times New Roman" w:eastAsia="仿宋_GB2312" w:cs="Times New Roman"/>
          <w:color w:val="auto"/>
          <w:kern w:val="0"/>
          <w:sz w:val="32"/>
          <w:szCs w:val="32"/>
          <w:lang w:eastAsia="zh-CN" w:bidi="ar"/>
        </w:rPr>
      </w:pPr>
      <w:r>
        <w:rPr>
          <w:rFonts w:hint="default" w:ascii="Times New Roman" w:hAnsi="Times New Roman" w:eastAsia="楷体" w:cs="Times New Roman"/>
          <w:b/>
          <w:bCs/>
          <w:sz w:val="32"/>
          <w:szCs w:val="32"/>
          <w:lang w:eastAsia="zh-CN"/>
        </w:rPr>
        <w:t>（</w:t>
      </w:r>
      <w:r>
        <w:rPr>
          <w:rFonts w:hint="eastAsia" w:ascii="Times New Roman" w:hAnsi="Times New Roman" w:eastAsia="楷体" w:cs="Times New Roman"/>
          <w:b/>
          <w:bCs/>
          <w:sz w:val="32"/>
          <w:szCs w:val="32"/>
          <w:lang w:eastAsia="zh-CN"/>
        </w:rPr>
        <w:t>四</w:t>
      </w:r>
      <w:r>
        <w:rPr>
          <w:rFonts w:hint="default" w:ascii="Times New Roman" w:hAnsi="Times New Roman" w:eastAsia="楷体" w:cs="Times New Roman"/>
          <w:b/>
          <w:bCs/>
          <w:sz w:val="32"/>
          <w:szCs w:val="32"/>
          <w:lang w:eastAsia="zh-CN"/>
        </w:rPr>
        <w:t>）进一步提升社会事务水平。</w:t>
      </w:r>
      <w:r>
        <w:rPr>
          <w:rFonts w:hint="default" w:ascii="Times New Roman" w:hAnsi="Times New Roman" w:eastAsia="仿宋_GB2312" w:cs="Times New Roman"/>
          <w:b w:val="0"/>
          <w:bCs w:val="0"/>
          <w:color w:val="auto"/>
          <w:sz w:val="32"/>
          <w:szCs w:val="32"/>
          <w:shd w:val="clear" w:color="auto" w:fill="FFFFFF"/>
          <w:lang w:eastAsia="zh-CN"/>
        </w:rPr>
        <w:t>加强镇（街道）未成年保护工作站点建设，充分整合资源，依托镇（街道）现有的社工站、社区党员群众服务中心、文化活动中心、儿童之家、学校等场所，</w:t>
      </w:r>
      <w:r>
        <w:rPr>
          <w:rFonts w:hint="eastAsia" w:ascii="Times New Roman" w:hAnsi="Times New Roman" w:eastAsia="仿宋_GB2312" w:cs="Times New Roman"/>
          <w:b w:val="0"/>
          <w:bCs w:val="0"/>
          <w:color w:val="auto"/>
          <w:sz w:val="32"/>
          <w:szCs w:val="32"/>
          <w:shd w:val="clear" w:color="auto" w:fill="FFFFFF"/>
          <w:lang w:eastAsia="zh-CN"/>
        </w:rPr>
        <w:t>提高</w:t>
      </w:r>
      <w:r>
        <w:rPr>
          <w:rFonts w:hint="default" w:ascii="Times New Roman" w:hAnsi="Times New Roman" w:eastAsia="仿宋_GB2312" w:cs="Times New Roman"/>
          <w:b w:val="0"/>
          <w:bCs w:val="0"/>
          <w:color w:val="auto"/>
          <w:sz w:val="32"/>
          <w:szCs w:val="32"/>
          <w:shd w:val="clear" w:color="auto" w:fill="FFFFFF"/>
          <w:lang w:eastAsia="zh-CN"/>
        </w:rPr>
        <w:t>未保站建设标准。</w:t>
      </w:r>
      <w:r>
        <w:rPr>
          <w:rFonts w:hint="eastAsia" w:ascii="Times New Roman" w:hAnsi="Times New Roman" w:eastAsia="仿宋_GB2312" w:cs="Times New Roman"/>
          <w:b w:val="0"/>
          <w:bCs w:val="0"/>
          <w:color w:val="auto"/>
          <w:sz w:val="32"/>
          <w:szCs w:val="32"/>
          <w:shd w:val="clear" w:color="auto" w:fill="FFFFFF"/>
          <w:lang w:eastAsia="zh-CN"/>
        </w:rPr>
        <w:t>构筑源头预防体系，建立流浪乞讨人员返乡安置和易流浪走失人员动态信息台账，定期动态更新源头治理救助名单，加强与公安、城管等单位的协调联动，从源头上预防和减少困难群体外出流浪。开展精准帮扶，并根据极端天气或突发灾害事故等紧急情况，第一时间为贫困或易流浪走失的重点人员提供必要生活保障，</w:t>
      </w:r>
      <w:r>
        <w:rPr>
          <w:rFonts w:hint="default" w:ascii="Times New Roman" w:hAnsi="Times New Roman" w:eastAsia="仿宋_GB2312" w:cs="Times New Roman"/>
          <w:b w:val="0"/>
          <w:bCs w:val="0"/>
          <w:color w:val="auto"/>
          <w:sz w:val="32"/>
          <w:szCs w:val="32"/>
          <w:shd w:val="clear" w:color="auto" w:fill="FFFFFF"/>
          <w:lang w:eastAsia="zh-CN"/>
        </w:rPr>
        <w:t>加强返乡流浪人员回归稳固工作。</w:t>
      </w:r>
      <w:r>
        <w:rPr>
          <w:rFonts w:hint="eastAsia" w:ascii="Times New Roman" w:hAnsi="Times New Roman" w:eastAsia="仿宋_GB2312" w:cs="Times New Roman"/>
          <w:b w:val="0"/>
          <w:bCs w:val="0"/>
          <w:color w:val="auto"/>
          <w:sz w:val="32"/>
          <w:szCs w:val="32"/>
          <w:shd w:val="clear" w:color="auto" w:fill="FFFFFF"/>
          <w:lang w:eastAsia="zh-CN"/>
        </w:rPr>
        <w:t>加强农村公益性公墓建设监管。建立完善的监督机制，充分发挥管理服务功能，探索采取政府购买服务等方式对公益性公墓（骨灰堂）进行管理维护。</w:t>
      </w:r>
      <w:r>
        <w:rPr>
          <w:rFonts w:hint="default" w:ascii="Times New Roman" w:hAnsi="Times New Roman" w:eastAsia="仿宋_GB2312" w:cs="Times New Roman"/>
          <w:b w:val="0"/>
          <w:bCs w:val="0"/>
          <w:color w:val="auto"/>
          <w:sz w:val="32"/>
          <w:szCs w:val="32"/>
          <w:shd w:val="clear" w:color="auto" w:fill="FFFFFF"/>
          <w:lang w:eastAsia="zh-CN"/>
        </w:rPr>
        <w:t>全面推广婚俗改革试点成效，以濉溪县婚姻改革试点为契机，持续开展移风易俗主题宣传教育活动，倡导文明婚俗，培育时代新风</w:t>
      </w:r>
      <w:r>
        <w:rPr>
          <w:rFonts w:hint="eastAsia"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eastAsia="zh-CN"/>
        </w:rPr>
        <w:t>打造精神障碍康复服务网络。依托市级精康家园服务指导中心，指导三区一县建立区级指导中心，推进精神障碍社区康复服务建设，实现市</w:t>
      </w:r>
      <w:r>
        <w:rPr>
          <w:rFonts w:hint="eastAsia"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eastAsia="zh-CN"/>
        </w:rPr>
        <w:t>县</w:t>
      </w:r>
      <w:r>
        <w:rPr>
          <w:rFonts w:hint="eastAsia"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eastAsia="zh-CN"/>
        </w:rPr>
        <w:t>街道</w:t>
      </w:r>
      <w:r>
        <w:rPr>
          <w:rFonts w:hint="eastAsia" w:ascii="Times New Roman" w:hAnsi="Times New Roman" w:eastAsia="仿宋_GB2312" w:cs="Times New Roman"/>
          <w:b w:val="0"/>
          <w:bCs w:val="0"/>
          <w:color w:val="auto"/>
          <w:sz w:val="32"/>
          <w:szCs w:val="32"/>
          <w:shd w:val="clear" w:color="auto" w:fill="FFFFFF"/>
          <w:lang w:eastAsia="zh-CN"/>
        </w:rPr>
        <w:t>、</w:t>
      </w:r>
      <w:r>
        <w:rPr>
          <w:rFonts w:hint="default" w:ascii="Times New Roman" w:hAnsi="Times New Roman" w:eastAsia="仿宋_GB2312" w:cs="Times New Roman"/>
          <w:b w:val="0"/>
          <w:bCs w:val="0"/>
          <w:color w:val="auto"/>
          <w:sz w:val="32"/>
          <w:szCs w:val="32"/>
          <w:shd w:val="clear" w:color="auto" w:fill="FFFFFF"/>
          <w:lang w:eastAsia="zh-CN"/>
        </w:rPr>
        <w:t>社区四级联动网络，并充分利用市精神卫生康复福利中心的医疗资源，在全市打造精神障碍康复服务品牌。</w:t>
      </w:r>
    </w:p>
    <w:p>
      <w:pPr>
        <w:keepNext w:val="0"/>
        <w:keepLines w:val="0"/>
        <w:pageBreakBefore w:val="0"/>
        <w:widowControl w:val="0"/>
        <w:kinsoku/>
        <w:wordWrap/>
        <w:overflowPunct/>
        <w:topLinePunct/>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楷体" w:cs="Times New Roman"/>
          <w:b/>
          <w:bCs/>
          <w:sz w:val="32"/>
          <w:szCs w:val="32"/>
          <w:lang w:val="en-US" w:eastAsia="zh-CN"/>
        </w:rPr>
        <w:t>（五）</w:t>
      </w:r>
      <w:r>
        <w:rPr>
          <w:rFonts w:hint="default" w:ascii="Times New Roman" w:hAnsi="Times New Roman" w:eastAsia="楷体" w:cs="Times New Roman"/>
          <w:b/>
          <w:bCs/>
          <w:sz w:val="32"/>
          <w:szCs w:val="32"/>
          <w:lang w:val="en-US" w:eastAsia="zh-CN"/>
        </w:rPr>
        <w:t>进一步推进慈善稳步发展</w:t>
      </w:r>
      <w:r>
        <w:rPr>
          <w:rFonts w:hint="eastAsia" w:ascii="Times New Roman" w:hAnsi="Times New Roman" w:eastAsia="楷体" w:cs="Times New Roman"/>
          <w:b/>
          <w:bCs/>
          <w:sz w:val="32"/>
          <w:szCs w:val="32"/>
          <w:lang w:val="en-US" w:eastAsia="zh-CN"/>
        </w:rPr>
        <w:t>。</w:t>
      </w:r>
      <w:r>
        <w:rPr>
          <w:rFonts w:hint="eastAsia" w:ascii="Times New Roman" w:hAnsi="Times New Roman" w:eastAsia="仿宋_GB2312" w:cs="Times New Roman"/>
          <w:b w:val="0"/>
          <w:bCs w:val="0"/>
          <w:color w:val="auto"/>
          <w:sz w:val="32"/>
          <w:szCs w:val="32"/>
          <w:shd w:val="clear" w:color="auto" w:fill="FFFFFF"/>
          <w:lang w:val="en-US" w:eastAsia="zh-CN"/>
        </w:rPr>
        <w:t>积极推进慈善事业新发展，持续开展“慈善一日捐”活动，培育慈善文化，构建大慈善格局。加大体制机制创新。依托具有公开募捐资格的慈善组织，广泛建立社区（村）基金，引领慈善及公益力量积极参与养老、社会事务、社会救助等民政领域重点工作，助力民政事业新发展。持续加强福利彩票销售，</w:t>
      </w:r>
      <w:r>
        <w:rPr>
          <w:rFonts w:hint="eastAsia" w:ascii="仿宋_GB2312" w:hAnsi="仿宋_GB2312" w:eastAsia="仿宋_GB2312" w:cs="仿宋_GB2312"/>
          <w:sz w:val="32"/>
          <w:szCs w:val="32"/>
          <w:lang w:val="en-US" w:eastAsia="zh-CN"/>
        </w:rPr>
        <w:t>不断推进销售站点征召、渠道拓展和销售站点服务管理，全力筹集更多福彩公益金，助推我市民生保障水平提升。</w:t>
      </w:r>
    </w:p>
    <w:p>
      <w:pPr>
        <w:shd w:val="clear"/>
        <w:ind w:firstLine="642" w:firstLineChars="200"/>
      </w:pPr>
      <w:r>
        <w:rPr>
          <w:rFonts w:hint="eastAsia" w:ascii="Times New Roman" w:hAnsi="Times New Roman" w:eastAsia="楷体" w:cs="Times New Roman"/>
          <w:b/>
          <w:bCs/>
          <w:kern w:val="2"/>
          <w:sz w:val="32"/>
          <w:szCs w:val="32"/>
          <w:lang w:val="en-US" w:eastAsia="zh-CN" w:bidi="ar-SA"/>
        </w:rPr>
        <w:t>（六）进一步</w:t>
      </w:r>
      <w:r>
        <w:rPr>
          <w:rFonts w:hint="default" w:ascii="Times New Roman" w:hAnsi="Times New Roman" w:eastAsia="楷体" w:cs="Times New Roman"/>
          <w:b/>
          <w:bCs/>
          <w:kern w:val="2"/>
          <w:sz w:val="32"/>
          <w:szCs w:val="32"/>
          <w:lang w:val="en-US" w:eastAsia="zh-CN" w:bidi="ar-SA"/>
        </w:rPr>
        <w:t>增强民政服务能力</w:t>
      </w:r>
      <w:r>
        <w:rPr>
          <w:rFonts w:hint="eastAsia" w:ascii="Times New Roman" w:hAnsi="Times New Roman" w:eastAsia="楷体" w:cs="Times New Roman"/>
          <w:b/>
          <w:bCs/>
          <w:kern w:val="2"/>
          <w:sz w:val="32"/>
          <w:szCs w:val="32"/>
          <w:lang w:val="en-US" w:eastAsia="zh-CN" w:bidi="ar-SA"/>
        </w:rPr>
        <w:t>。</w:t>
      </w:r>
      <w:r>
        <w:rPr>
          <w:rFonts w:ascii="Times New Roman" w:hAnsi="Times New Roman" w:eastAsia="仿宋_GB2312" w:cs="Times New Roman"/>
          <w:sz w:val="32"/>
          <w:szCs w:val="32"/>
        </w:rPr>
        <w:t>打通服务群众“最后一公里”，着力整治群众身边的腐败问题。支持驻局纪检监察组履行职责，推动党风廉政建设和反腐败斗争向纵深发展。坚持好干部标准，优化干部培养和使用，加强党员干部的思想淬炼、政治历练、实践锻炼、专业训练，建设高素质、专业化干部队伍。挖掘和宣传民政系统先进人物和事迹，增强干部队伍的职业荣誉感和工作归属感，打造一支充满活力、勇于干事、敢于担当、勤政廉政的民政干部队伍。</w:t>
      </w:r>
    </w:p>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第二部分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预算表</w:t>
      </w:r>
    </w:p>
    <w:p>
      <w:pPr>
        <w:pStyle w:val="8"/>
        <w:adjustRightInd w:val="0"/>
        <w:snapToGrid w:val="0"/>
        <w:spacing w:line="560" w:lineRule="exact"/>
        <w:ind w:firstLine="627" w:firstLineChars="196"/>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见附件1-2</w:t>
      </w:r>
    </w:p>
    <w:p>
      <w:r>
        <w:t xml:space="preserve">                                        </w:t>
      </w: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 xml:space="preserve">第三部分 </w:t>
      </w:r>
      <w:r>
        <w:rPr>
          <w:rFonts w:hint="eastAsia" w:ascii="黑体" w:hAnsi="黑体" w:eastAsia="黑体" w:cs="黑体"/>
          <w:bCs/>
          <w:sz w:val="36"/>
          <w:szCs w:val="36"/>
        </w:rPr>
        <w:t>2024年</w:t>
      </w:r>
      <w:r>
        <w:rPr>
          <w:rFonts w:hint="eastAsia" w:ascii="TimesNewRoman" w:hAnsi="TimesNewRoman" w:eastAsia="黑体" w:cs="TimesNewRoman"/>
          <w:bCs/>
          <w:sz w:val="36"/>
          <w:szCs w:val="36"/>
          <w:lang w:eastAsia="zh-CN"/>
        </w:rPr>
        <w:t>单位</w:t>
      </w:r>
      <w:r>
        <w:rPr>
          <w:rFonts w:hint="eastAsia" w:ascii="TimesNewRoman" w:hAnsi="TimesNewRoman" w:eastAsia="黑体" w:cs="TimesNewRoman"/>
          <w:bCs/>
          <w:sz w:val="36"/>
          <w:szCs w:val="36"/>
        </w:rPr>
        <w:t>预算情况说明</w:t>
      </w:r>
    </w:p>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年收支总表的说明</w:t>
      </w:r>
    </w:p>
    <w:p>
      <w:pPr>
        <w:pStyle w:val="8"/>
        <w:adjustRightInd w:val="0"/>
        <w:snapToGrid w:val="0"/>
        <w:spacing w:line="560" w:lineRule="exact"/>
        <w:ind w:firstLine="627" w:firstLineChars="196"/>
        <w:rPr>
          <w:rFonts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w:t>
      </w:r>
      <w:r>
        <w:rPr>
          <w:rFonts w:hint="eastAsia" w:ascii="TimesNewRoman" w:hAnsi="TimesNewRoman" w:eastAsia="仿宋_GB2312" w:cs="TimesNewRoman"/>
          <w:sz w:val="32"/>
          <w:szCs w:val="32"/>
          <w:lang w:eastAsia="zh-CN"/>
        </w:rPr>
        <w:t>民政局</w:t>
      </w:r>
      <w:r>
        <w:rPr>
          <w:rFonts w:hint="eastAsia" w:ascii="TimesNewRoman" w:hAnsi="TimesNewRoman" w:eastAsia="仿宋_GB2312" w:cs="TimesNewRoman"/>
          <w:sz w:val="32"/>
          <w:szCs w:val="32"/>
        </w:rPr>
        <w:t>所有收入和支出均纳入</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预算管理。淮北市</w:t>
      </w:r>
      <w:r>
        <w:rPr>
          <w:rFonts w:hint="eastAsia" w:ascii="TimesNewRoman" w:hAnsi="TimesNewRoman" w:eastAsia="仿宋_GB2312" w:cs="TimesNewRoman"/>
          <w:sz w:val="32"/>
          <w:szCs w:val="32"/>
          <w:lang w:eastAsia="zh-CN"/>
        </w:rPr>
        <w:t>民政局</w:t>
      </w:r>
      <w:r>
        <w:rPr>
          <w:rFonts w:hint="eastAsia" w:ascii="仿宋_GB2312" w:hAnsi="仿宋_GB2312" w:eastAsia="仿宋_GB2312" w:cs="仿宋_GB2312"/>
          <w:sz w:val="32"/>
          <w:szCs w:val="32"/>
        </w:rPr>
        <w:t>2024</w:t>
      </w:r>
      <w:r>
        <w:rPr>
          <w:rFonts w:hint="eastAsia" w:ascii="TimesNewRoman" w:hAnsi="TimesNewRoman" w:eastAsia="仿宋_GB2312" w:cs="TimesNewRoman"/>
          <w:sz w:val="32"/>
          <w:szCs w:val="32"/>
        </w:rPr>
        <w:t>年收支总预算</w:t>
      </w:r>
      <w:r>
        <w:rPr>
          <w:rFonts w:hint="eastAsia" w:ascii="仿宋_GB2312" w:hAnsi="仿宋_GB2312" w:eastAsia="仿宋_GB2312" w:cs="仿宋_GB2312"/>
          <w:sz w:val="32"/>
          <w:szCs w:val="32"/>
          <w:lang w:val="en-US" w:eastAsia="zh-CN"/>
        </w:rPr>
        <w:t>2598.22</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万元，收入包括一般公共预算拨款收入、政府性基金预算拨款收入，支出包括：社会保障和就业支出、卫生健康支出、住房保障支出、</w:t>
      </w:r>
      <w:r>
        <w:rPr>
          <w:rFonts w:hint="eastAsia" w:ascii="TimesNewRoman" w:hAnsi="TimesNewRoman" w:eastAsia="仿宋_GB2312" w:cs="TimesNewRoman"/>
          <w:sz w:val="32"/>
          <w:szCs w:val="32"/>
          <w:lang w:val="en-US" w:eastAsia="zh-CN"/>
        </w:rPr>
        <w:t>其他支出</w:t>
      </w:r>
      <w:r>
        <w:rPr>
          <w:rFonts w:hint="eastAsia" w:ascii="TimesNewRoman" w:hAnsi="TimesNewRoman" w:eastAsia="仿宋_GB2312" w:cs="TimesNewRoman"/>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二、关于</w:t>
      </w:r>
      <w:r>
        <w:rPr>
          <w:rFonts w:hint="eastAsia" w:ascii="黑体" w:hAnsi="黑体" w:eastAsia="黑体" w:cs="黑体"/>
          <w:bCs/>
          <w:sz w:val="32"/>
          <w:szCs w:val="32"/>
        </w:rPr>
        <w:t>2024年收入</w:t>
      </w:r>
      <w:r>
        <w:rPr>
          <w:rFonts w:hint="eastAsia" w:ascii="TimesNewRoman" w:hAnsi="TimesNewRoman" w:eastAsia="黑体" w:cs="TimesNewRoman"/>
          <w:bCs/>
          <w:sz w:val="32"/>
          <w:szCs w:val="32"/>
        </w:rPr>
        <w:t>总表的说明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淮北市民政局2024年收入预算2598.22万元 ，其中，本年收入2598.22万元。</w:t>
      </w:r>
    </w:p>
    <w:p>
      <w:pPr>
        <w:ind w:firstLine="642" w:firstLineChars="200"/>
        <w:rPr>
          <w:rFonts w:hint="eastAsia" w:ascii="仿宋_GB2312" w:hAnsi="仿宋_GB2312" w:eastAsia="仿宋_GB2312" w:cs="仿宋_GB2312"/>
          <w:kern w:val="0"/>
          <w:sz w:val="32"/>
          <w:szCs w:val="32"/>
        </w:rPr>
      </w:pPr>
      <w:r>
        <w:rPr>
          <w:rFonts w:hint="eastAsia" w:ascii="TimesNewRoman" w:hAnsi="TimesNewRoman" w:eastAsia="仿宋_GB2312" w:cs="TimesNewRoman"/>
          <w:b/>
          <w:kern w:val="0"/>
          <w:sz w:val="32"/>
          <w:szCs w:val="32"/>
        </w:rPr>
        <w:t>（一）本年收</w:t>
      </w:r>
      <w:r>
        <w:rPr>
          <w:rFonts w:hint="eastAsia" w:ascii="仿宋_GB2312" w:hAnsi="仿宋_GB2312" w:eastAsia="仿宋_GB2312" w:cs="仿宋_GB2312"/>
          <w:b/>
          <w:kern w:val="0"/>
          <w:sz w:val="32"/>
          <w:szCs w:val="32"/>
        </w:rPr>
        <w:t>入</w:t>
      </w:r>
      <w:r>
        <w:rPr>
          <w:rFonts w:hint="eastAsia" w:ascii="仿宋_GB2312" w:hAnsi="仿宋_GB2312" w:eastAsia="仿宋_GB2312" w:cs="仿宋_GB2312"/>
          <w:b/>
          <w:kern w:val="0"/>
          <w:sz w:val="32"/>
          <w:szCs w:val="32"/>
          <w:lang w:val="en-US" w:eastAsia="zh-CN"/>
        </w:rPr>
        <w:t>2598.22</w:t>
      </w:r>
      <w:r>
        <w:rPr>
          <w:rFonts w:hint="eastAsia" w:ascii="仿宋_GB2312" w:hAnsi="仿宋_GB2312" w:eastAsia="仿宋_GB2312" w:cs="仿宋_GB2312"/>
          <w:b/>
          <w:kern w:val="0"/>
          <w:sz w:val="32"/>
          <w:szCs w:val="32"/>
        </w:rPr>
        <w:t>万元</w:t>
      </w:r>
      <w:r>
        <w:rPr>
          <w:rFonts w:hint="eastAsia" w:ascii="TimesNewRoman" w:hAnsi="TimesNewRoman" w:eastAsia="仿宋_GB2312" w:cs="TimesNewRoman"/>
          <w:b/>
          <w:kern w:val="0"/>
          <w:sz w:val="32"/>
          <w:szCs w:val="32"/>
        </w:rPr>
        <w:t>，</w:t>
      </w:r>
      <w:r>
        <w:rPr>
          <w:rFonts w:hint="eastAsia" w:ascii="仿宋_GB2312" w:hAnsi="仿宋_GB2312" w:eastAsia="仿宋_GB2312" w:cs="仿宋_GB2312"/>
          <w:kern w:val="0"/>
          <w:sz w:val="32"/>
          <w:szCs w:val="32"/>
        </w:rPr>
        <w:t>主要包括：一般公共预算拨款收入</w:t>
      </w:r>
      <w:r>
        <w:rPr>
          <w:rFonts w:hint="eastAsia" w:ascii="仿宋_GB2312" w:hAnsi="仿宋_GB2312" w:eastAsia="仿宋_GB2312" w:cs="仿宋_GB2312"/>
          <w:kern w:val="0"/>
          <w:sz w:val="32"/>
          <w:szCs w:val="32"/>
          <w:lang w:val="en-US" w:eastAsia="zh-CN"/>
        </w:rPr>
        <w:t>1803.22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69.40</w:t>
      </w:r>
      <w:r>
        <w:rPr>
          <w:rFonts w:hint="eastAsia" w:ascii="仿宋_GB2312" w:hAnsi="仿宋_GB2312" w:eastAsia="仿宋_GB2312" w:cs="仿宋_GB2312"/>
          <w:kern w:val="0"/>
          <w:sz w:val="32"/>
          <w:szCs w:val="32"/>
        </w:rPr>
        <w:t>%，比2023年预算</w:t>
      </w:r>
      <w:r>
        <w:rPr>
          <w:rFonts w:hint="eastAsia" w:ascii="仿宋_GB2312" w:hAnsi="仿宋_GB2312" w:eastAsia="仿宋_GB2312" w:cs="仿宋_GB2312"/>
          <w:kern w:val="0"/>
          <w:sz w:val="32"/>
          <w:szCs w:val="32"/>
          <w:lang w:val="en-US" w:eastAsia="zh-CN"/>
        </w:rPr>
        <w:t>减少502.17</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21.78</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压减支出</w:t>
      </w:r>
      <w:r>
        <w:rPr>
          <w:rFonts w:hint="eastAsia" w:ascii="仿宋_GB2312" w:hAnsi="仿宋_GB2312" w:eastAsia="仿宋_GB2312" w:cs="仿宋_GB2312"/>
          <w:kern w:val="0"/>
          <w:sz w:val="32"/>
          <w:szCs w:val="32"/>
        </w:rPr>
        <w:t>；政府性基金预算拨款收入</w:t>
      </w:r>
      <w:r>
        <w:rPr>
          <w:rFonts w:hint="eastAsia" w:ascii="仿宋_GB2312" w:hAnsi="仿宋_GB2312" w:eastAsia="仿宋_GB2312" w:cs="仿宋_GB2312"/>
          <w:kern w:val="0"/>
          <w:sz w:val="32"/>
          <w:szCs w:val="32"/>
          <w:lang w:val="en-US" w:eastAsia="zh-CN"/>
        </w:rPr>
        <w:t>795</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30.60</w:t>
      </w:r>
      <w:r>
        <w:rPr>
          <w:rFonts w:hint="eastAsia" w:ascii="仿宋_GB2312" w:hAnsi="仿宋_GB2312" w:eastAsia="仿宋_GB2312" w:cs="仿宋_GB2312"/>
          <w:kern w:val="0"/>
          <w:sz w:val="32"/>
          <w:szCs w:val="32"/>
        </w:rPr>
        <w:t>%，比2023年预算增加</w:t>
      </w:r>
      <w:r>
        <w:rPr>
          <w:rFonts w:hint="eastAsia" w:ascii="仿宋_GB2312" w:hAnsi="仿宋_GB2312" w:eastAsia="仿宋_GB2312" w:cs="仿宋_GB2312"/>
          <w:kern w:val="0"/>
          <w:sz w:val="32"/>
          <w:szCs w:val="32"/>
          <w:lang w:val="en-US" w:eastAsia="zh-CN"/>
        </w:rPr>
        <w:t>260</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48.60</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三、关于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年支出总表的说明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2024年支出预算</w:t>
      </w:r>
      <w:r>
        <w:rPr>
          <w:rFonts w:hint="eastAsia" w:ascii="仿宋_GB2312" w:hAnsi="仿宋_GB2312" w:eastAsia="仿宋_GB2312" w:cs="仿宋_GB2312"/>
          <w:kern w:val="0"/>
          <w:sz w:val="32"/>
          <w:szCs w:val="32"/>
          <w:lang w:val="en-US" w:eastAsia="zh-CN"/>
        </w:rPr>
        <w:t>2598.22</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减少242.17</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减少8.53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压减项目支出</w:t>
      </w:r>
      <w:r>
        <w:rPr>
          <w:rFonts w:hint="eastAsia" w:ascii="仿宋_GB2312" w:hAnsi="仿宋_GB2312" w:eastAsia="仿宋_GB2312" w:cs="仿宋_GB2312"/>
          <w:kern w:val="0"/>
          <w:sz w:val="32"/>
          <w:szCs w:val="32"/>
        </w:rPr>
        <w:t>。其中，基本支出</w:t>
      </w:r>
      <w:r>
        <w:rPr>
          <w:rFonts w:hint="eastAsia" w:ascii="仿宋_GB2312" w:hAnsi="仿宋_GB2312" w:eastAsia="仿宋_GB2312" w:cs="仿宋_GB2312"/>
          <w:kern w:val="0"/>
          <w:sz w:val="32"/>
          <w:szCs w:val="32"/>
          <w:lang w:val="en-US" w:eastAsia="zh-CN"/>
        </w:rPr>
        <w:t>597.22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22.99</w:t>
      </w:r>
      <w:r>
        <w:rPr>
          <w:rFonts w:hint="eastAsia" w:ascii="仿宋_GB2312" w:hAnsi="仿宋_GB2312" w:eastAsia="仿宋_GB2312" w:cs="仿宋_GB2312"/>
          <w:kern w:val="0"/>
          <w:sz w:val="32"/>
          <w:szCs w:val="32"/>
        </w:rPr>
        <w:t>%，主要用于保障机构日常运转、完成日常工作任务；项目支出</w:t>
      </w:r>
      <w:r>
        <w:rPr>
          <w:rFonts w:hint="eastAsia" w:ascii="仿宋_GB2312" w:hAnsi="仿宋_GB2312" w:eastAsia="仿宋_GB2312" w:cs="仿宋_GB2312"/>
          <w:kern w:val="0"/>
          <w:sz w:val="32"/>
          <w:szCs w:val="32"/>
          <w:lang w:val="en-US" w:eastAsia="zh-CN"/>
        </w:rPr>
        <w:t>2001</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77.01</w:t>
      </w:r>
      <w:r>
        <w:rPr>
          <w:rFonts w:hint="eastAsia" w:ascii="仿宋_GB2312" w:hAnsi="仿宋_GB2312" w:eastAsia="仿宋_GB2312" w:cs="仿宋_GB2312"/>
          <w:kern w:val="0"/>
          <w:sz w:val="32"/>
          <w:szCs w:val="32"/>
        </w:rPr>
        <w:t>%，主要用于</w:t>
      </w:r>
      <w:r>
        <w:rPr>
          <w:rFonts w:hint="eastAsia" w:ascii="仿宋_GB2312" w:hAnsi="仿宋" w:eastAsia="仿宋_GB2312"/>
          <w:sz w:val="32"/>
          <w:szCs w:val="32"/>
        </w:rPr>
        <w:t>保障民政事业发展需要设立的项目</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四、关</w:t>
      </w:r>
      <w:r>
        <w:rPr>
          <w:rFonts w:hint="eastAsia" w:ascii="黑体" w:hAnsi="黑体" w:eastAsia="黑体" w:cs="黑体"/>
          <w:bCs/>
          <w:sz w:val="32"/>
          <w:szCs w:val="32"/>
        </w:rPr>
        <w:t>于2024</w:t>
      </w:r>
      <w:r>
        <w:rPr>
          <w:rFonts w:hint="eastAsia" w:ascii="TimesNewRoman" w:hAnsi="TimesNewRoman" w:eastAsia="黑体" w:cs="TimesNewRoman"/>
          <w:bCs/>
          <w:sz w:val="32"/>
          <w:szCs w:val="32"/>
        </w:rPr>
        <w:t>年财政拨款收支总表的说明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2024年财政拨款收支预算</w:t>
      </w:r>
      <w:r>
        <w:rPr>
          <w:rFonts w:hint="eastAsia" w:ascii="仿宋_GB2312" w:hAnsi="仿宋_GB2312" w:eastAsia="仿宋_GB2312" w:cs="仿宋_GB2312"/>
          <w:kern w:val="0"/>
          <w:sz w:val="32"/>
          <w:szCs w:val="32"/>
          <w:lang w:val="en-US" w:eastAsia="zh-CN"/>
        </w:rPr>
        <w:t>2598.22</w:t>
      </w:r>
      <w:r>
        <w:rPr>
          <w:rFonts w:hint="eastAsia" w:ascii="仿宋_GB2312" w:hAnsi="仿宋_GB2312" w:eastAsia="仿宋_GB2312" w:cs="仿宋_GB2312"/>
          <w:kern w:val="0"/>
          <w:sz w:val="32"/>
          <w:szCs w:val="32"/>
        </w:rPr>
        <w:t>万元。收入按资金来源分为：一般公共预算拨款</w:t>
      </w:r>
      <w:r>
        <w:rPr>
          <w:rFonts w:hint="eastAsia" w:ascii="仿宋_GB2312" w:hAnsi="仿宋_GB2312" w:eastAsia="仿宋_GB2312" w:cs="仿宋_GB2312"/>
          <w:kern w:val="0"/>
          <w:sz w:val="32"/>
          <w:szCs w:val="32"/>
          <w:lang w:val="en-US" w:eastAsia="zh-CN"/>
        </w:rPr>
        <w:t>1803.22</w:t>
      </w:r>
      <w:r>
        <w:rPr>
          <w:rFonts w:hint="eastAsia" w:ascii="仿宋_GB2312" w:hAnsi="仿宋_GB2312" w:eastAsia="仿宋_GB2312" w:cs="仿宋_GB2312"/>
          <w:kern w:val="0"/>
          <w:sz w:val="32"/>
          <w:szCs w:val="32"/>
        </w:rPr>
        <w:t>万元、政府性基金预算拨款</w:t>
      </w:r>
      <w:r>
        <w:rPr>
          <w:rFonts w:hint="eastAsia" w:ascii="仿宋_GB2312" w:hAnsi="仿宋_GB2312" w:eastAsia="仿宋_GB2312" w:cs="仿宋_GB2312"/>
          <w:kern w:val="0"/>
          <w:sz w:val="32"/>
          <w:szCs w:val="32"/>
          <w:lang w:eastAsia="zh-CN"/>
        </w:rPr>
        <w:t>795</w:t>
      </w:r>
      <w:r>
        <w:rPr>
          <w:rFonts w:hint="eastAsia" w:ascii="仿宋_GB2312" w:hAnsi="仿宋_GB2312" w:eastAsia="仿宋_GB2312" w:cs="仿宋_GB2312"/>
          <w:kern w:val="0"/>
          <w:sz w:val="32"/>
          <w:szCs w:val="32"/>
        </w:rPr>
        <w:t>万元；按资金年度分为：本年财政拨款收入</w:t>
      </w:r>
      <w:r>
        <w:rPr>
          <w:rFonts w:hint="eastAsia" w:ascii="仿宋_GB2312" w:hAnsi="仿宋_GB2312" w:eastAsia="仿宋_GB2312" w:cs="仿宋_GB2312"/>
          <w:kern w:val="0"/>
          <w:sz w:val="32"/>
          <w:szCs w:val="32"/>
          <w:lang w:val="en-US" w:eastAsia="zh-CN"/>
        </w:rPr>
        <w:t>2598.22</w:t>
      </w:r>
      <w:r>
        <w:rPr>
          <w:rFonts w:hint="eastAsia" w:ascii="仿宋_GB2312" w:hAnsi="仿宋_GB2312" w:eastAsia="仿宋_GB2312" w:cs="仿宋_GB2312"/>
          <w:kern w:val="0"/>
          <w:sz w:val="32"/>
          <w:szCs w:val="32"/>
        </w:rPr>
        <w:t>万元。支出按功能分类分为：社会保障和就业支出</w:t>
      </w:r>
      <w:r>
        <w:rPr>
          <w:rFonts w:hint="eastAsia" w:ascii="仿宋_GB2312" w:hAnsi="仿宋_GB2312" w:eastAsia="仿宋_GB2312" w:cs="仿宋_GB2312"/>
          <w:kern w:val="0"/>
          <w:sz w:val="32"/>
          <w:szCs w:val="32"/>
          <w:lang w:val="en-US" w:eastAsia="zh-CN"/>
        </w:rPr>
        <w:t>1717.32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66.10</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25.48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0.98</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60.42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2.33</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其他支出795万元</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占</w:t>
      </w:r>
      <w:r>
        <w:rPr>
          <w:rFonts w:hint="eastAsia" w:ascii="仿宋_GB2312" w:hAnsi="仿宋_GB2312" w:eastAsia="仿宋_GB2312" w:cs="仿宋_GB2312"/>
          <w:kern w:val="0"/>
          <w:sz w:val="32"/>
          <w:szCs w:val="32"/>
          <w:lang w:val="en-US" w:eastAsia="zh-CN"/>
        </w:rPr>
        <w:t>30.60</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五、关于</w:t>
      </w:r>
      <w:r>
        <w:rPr>
          <w:rFonts w:hint="eastAsia" w:ascii="黑体" w:hAnsi="黑体" w:eastAsia="黑体" w:cs="黑体"/>
          <w:bCs/>
          <w:sz w:val="32"/>
          <w:szCs w:val="32"/>
        </w:rPr>
        <w:t>2024年</w:t>
      </w:r>
      <w:r>
        <w:rPr>
          <w:rFonts w:hint="eastAsia" w:ascii="TimesNewRoman" w:hAnsi="TimesNewRoman" w:eastAsia="黑体" w:cs="TimesNewRoman"/>
          <w:bCs/>
          <w:sz w:val="32"/>
          <w:szCs w:val="32"/>
        </w:rPr>
        <w:t>一般公共预算支出表的说明</w:t>
      </w:r>
    </w:p>
    <w:p>
      <w:pPr>
        <w:pStyle w:val="8"/>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2024年一般公共预算支出</w:t>
      </w:r>
      <w:r>
        <w:rPr>
          <w:rFonts w:hint="eastAsia" w:ascii="仿宋_GB2312" w:hAnsi="仿宋_GB2312" w:eastAsia="仿宋_GB2312" w:cs="仿宋_GB2312"/>
          <w:kern w:val="0"/>
          <w:sz w:val="32"/>
          <w:szCs w:val="32"/>
          <w:lang w:val="en-US" w:eastAsia="zh-CN"/>
        </w:rPr>
        <w:t>1803.22</w:t>
      </w:r>
      <w:r>
        <w:rPr>
          <w:rFonts w:hint="eastAsia" w:ascii="仿宋_GB2312" w:hAnsi="仿宋_GB2312" w:eastAsia="仿宋_GB2312" w:cs="仿宋_GB2312"/>
          <w:kern w:val="0"/>
          <w:sz w:val="32"/>
          <w:szCs w:val="32"/>
        </w:rPr>
        <w:t>万元，比2023年预算减少</w:t>
      </w:r>
      <w:r>
        <w:rPr>
          <w:rFonts w:hint="eastAsia" w:ascii="仿宋_GB2312" w:hAnsi="仿宋_GB2312" w:eastAsia="仿宋_GB2312" w:cs="仿宋_GB2312"/>
          <w:kern w:val="0"/>
          <w:sz w:val="32"/>
          <w:szCs w:val="32"/>
          <w:lang w:val="en-US" w:eastAsia="zh-CN"/>
        </w:rPr>
        <w:t>502.17</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21.78</w:t>
      </w:r>
      <w:r>
        <w:rPr>
          <w:rFonts w:hint="eastAsia" w:ascii="仿宋_GB2312" w:hAnsi="仿宋_GB2312" w:eastAsia="仿宋_GB2312" w:cs="仿宋_GB2312"/>
          <w:kern w:val="0"/>
          <w:sz w:val="32"/>
          <w:szCs w:val="32"/>
        </w:rPr>
        <w:t>%，主要原因：</w:t>
      </w:r>
      <w:r>
        <w:rPr>
          <w:rFonts w:hint="eastAsia" w:ascii="仿宋_GB2312" w:hAnsi="仿宋_GB2312" w:eastAsia="仿宋_GB2312" w:cs="仿宋_GB2312"/>
          <w:kern w:val="0"/>
          <w:sz w:val="32"/>
          <w:szCs w:val="32"/>
          <w:lang w:val="en-US" w:eastAsia="zh-CN"/>
        </w:rPr>
        <w:t>压减支出</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kern w:val="0"/>
          <w:sz w:val="32"/>
          <w:szCs w:val="32"/>
          <w:lang w:val="en-US" w:eastAsia="zh-CN"/>
        </w:rPr>
        <w:t>1717.32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95.24</w:t>
      </w:r>
      <w:r>
        <w:rPr>
          <w:rFonts w:hint="eastAsia" w:ascii="仿宋_GB2312" w:hAnsi="仿宋_GB2312" w:eastAsia="仿宋_GB2312" w:cs="仿宋_GB2312"/>
          <w:kern w:val="0"/>
          <w:sz w:val="32"/>
          <w:szCs w:val="32"/>
        </w:rPr>
        <w:t>%；卫生健康支出</w:t>
      </w:r>
      <w:r>
        <w:rPr>
          <w:rFonts w:hint="eastAsia" w:ascii="仿宋_GB2312" w:hAnsi="仿宋_GB2312" w:eastAsia="仿宋_GB2312" w:cs="仿宋_GB2312"/>
          <w:kern w:val="0"/>
          <w:sz w:val="32"/>
          <w:szCs w:val="32"/>
          <w:lang w:val="en-US" w:eastAsia="zh-CN"/>
        </w:rPr>
        <w:t>25.48</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1.41</w:t>
      </w:r>
      <w:r>
        <w:rPr>
          <w:rFonts w:hint="eastAsia" w:ascii="仿宋_GB2312" w:hAnsi="仿宋_GB2312" w:eastAsia="仿宋_GB2312" w:cs="仿宋_GB2312"/>
          <w:kern w:val="0"/>
          <w:sz w:val="32"/>
          <w:szCs w:val="32"/>
        </w:rPr>
        <w:t>%；住房保障支出</w:t>
      </w:r>
      <w:r>
        <w:rPr>
          <w:rFonts w:hint="eastAsia" w:ascii="仿宋_GB2312" w:hAnsi="仿宋_GB2312" w:eastAsia="仿宋_GB2312" w:cs="仿宋_GB2312"/>
          <w:kern w:val="0"/>
          <w:sz w:val="32"/>
          <w:szCs w:val="32"/>
          <w:lang w:val="en-US" w:eastAsia="zh-CN"/>
        </w:rPr>
        <w:t>60.42</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3.35</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9" w:firstLineChars="196"/>
        <w:rPr>
          <w:rFonts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pPr>
        <w:adjustRightInd w:val="0"/>
        <w:snapToGrid w:val="0"/>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rPr>
        <w:t>1.社会保障和就业支出（类）民政管理事务（款）行政运行（项）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382.48</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预算增加</w:t>
      </w:r>
      <w:r>
        <w:rPr>
          <w:rFonts w:hint="eastAsia" w:ascii="仿宋_GB2312" w:hAnsi="仿宋" w:eastAsia="仿宋_GB2312"/>
          <w:sz w:val="32"/>
          <w:szCs w:val="32"/>
          <w:lang w:val="en-US" w:eastAsia="zh-CN"/>
        </w:rPr>
        <w:t>38.74</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11.27</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项目支出增加</w:t>
      </w:r>
      <w:r>
        <w:rPr>
          <w:rFonts w:hint="eastAsia" w:ascii="仿宋_GB2312" w:hAnsi="仿宋" w:eastAsia="仿宋_GB2312"/>
          <w:sz w:val="32"/>
          <w:szCs w:val="32"/>
        </w:rPr>
        <w:t>。</w:t>
      </w:r>
    </w:p>
    <w:p>
      <w:pPr>
        <w:adjustRightInd w:val="0"/>
        <w:snapToGrid w:val="0"/>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lang w:val="en-US" w:eastAsia="zh-CN"/>
        </w:rPr>
        <w:t>2</w:t>
      </w:r>
      <w:r>
        <w:rPr>
          <w:rFonts w:hint="eastAsia" w:ascii="仿宋_GB2312" w:hAnsi="仿宋" w:eastAsia="仿宋_GB2312"/>
          <w:b/>
          <w:sz w:val="32"/>
          <w:szCs w:val="32"/>
        </w:rPr>
        <w:t>.社会保障和就业支出（类）民政管理事务（款）基层政权建设和社区治理（项）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30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与</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持平</w:t>
      </w:r>
      <w:r>
        <w:rPr>
          <w:rFonts w:hint="eastAsia" w:ascii="仿宋_GB2312" w:hAnsi="仿宋" w:eastAsia="仿宋_GB2312"/>
          <w:sz w:val="32"/>
          <w:szCs w:val="32"/>
        </w:rPr>
        <w:t>。</w:t>
      </w:r>
    </w:p>
    <w:p>
      <w:pPr>
        <w:adjustRightInd w:val="0"/>
        <w:snapToGrid w:val="0"/>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lang w:val="en-US" w:eastAsia="zh-CN"/>
        </w:rPr>
        <w:t>3</w:t>
      </w:r>
      <w:r>
        <w:rPr>
          <w:rFonts w:hint="eastAsia" w:ascii="仿宋_GB2312" w:hAnsi="仿宋" w:eastAsia="仿宋_GB2312"/>
          <w:b/>
          <w:sz w:val="32"/>
          <w:szCs w:val="32"/>
        </w:rPr>
        <w:t>.社会保障和就业支出（类）民政管理事务（款）其他民政管理事务支出（项）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156</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减少20</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减少11.36</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压减支出</w:t>
      </w:r>
      <w:r>
        <w:rPr>
          <w:rFonts w:hint="eastAsia" w:ascii="仿宋_GB2312" w:hAnsi="仿宋" w:eastAsia="仿宋_GB2312"/>
          <w:sz w:val="32"/>
          <w:szCs w:val="32"/>
        </w:rPr>
        <w:t>。</w:t>
      </w:r>
    </w:p>
    <w:p>
      <w:pPr>
        <w:adjustRightInd w:val="0"/>
        <w:snapToGrid w:val="0"/>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lang w:val="en-US" w:eastAsia="zh-CN"/>
        </w:rPr>
        <w:t>4</w:t>
      </w:r>
      <w:r>
        <w:rPr>
          <w:rFonts w:hint="eastAsia" w:ascii="仿宋_GB2312" w:hAnsi="仿宋" w:eastAsia="仿宋_GB2312"/>
          <w:b/>
          <w:sz w:val="32"/>
          <w:szCs w:val="32"/>
        </w:rPr>
        <w:t>.社会保障和就业支出（类）行政事业单位养老支出（款）行政单位离退休（项）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111.95</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增加3.06</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增加2.81</w:t>
      </w:r>
      <w:r>
        <w:rPr>
          <w:rFonts w:hint="eastAsia" w:ascii="仿宋_GB2312" w:hAnsi="仿宋" w:eastAsia="仿宋_GB2312"/>
          <w:sz w:val="32"/>
          <w:szCs w:val="32"/>
        </w:rPr>
        <w:t>%，</w:t>
      </w:r>
      <w:r>
        <w:rPr>
          <w:rFonts w:hint="eastAsia" w:ascii="仿宋_GB2312" w:hAnsi="仿宋" w:eastAsia="仿宋_GB2312"/>
          <w:sz w:val="32"/>
          <w:szCs w:val="32"/>
          <w:lang w:val="en-US"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pPr>
        <w:adjustRightInd w:val="0"/>
        <w:snapToGrid w:val="0"/>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lang w:val="en-US" w:eastAsia="zh-CN"/>
        </w:rPr>
        <w:t>5</w:t>
      </w:r>
      <w:r>
        <w:rPr>
          <w:rFonts w:hint="eastAsia" w:ascii="仿宋_GB2312" w:hAnsi="仿宋" w:eastAsia="仿宋_GB2312"/>
          <w:b/>
          <w:sz w:val="32"/>
          <w:szCs w:val="32"/>
        </w:rPr>
        <w:t>.社会保障和就业支出（类）行政事业单位养老支出（款）机关事业单位基本养老保险缴费支出（项）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41.26</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增加3.11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增加8.15</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pPr>
        <w:adjustRightInd w:val="0"/>
        <w:snapToGrid w:val="0"/>
        <w:spacing w:line="600" w:lineRule="exact"/>
        <w:ind w:firstLine="642" w:firstLineChars="200"/>
        <w:rPr>
          <w:rFonts w:ascii="仿宋_GB2312" w:hAnsi="仿宋" w:eastAsia="仿宋_GB2312"/>
          <w:sz w:val="32"/>
          <w:szCs w:val="32"/>
        </w:rPr>
      </w:pPr>
      <w:r>
        <w:rPr>
          <w:rFonts w:hint="eastAsia" w:ascii="仿宋_GB2312" w:hAnsi="仿宋" w:eastAsia="仿宋_GB2312"/>
          <w:b/>
          <w:sz w:val="32"/>
          <w:szCs w:val="32"/>
          <w:lang w:val="en-US" w:eastAsia="zh-CN"/>
        </w:rPr>
        <w:t>6</w:t>
      </w:r>
      <w:r>
        <w:rPr>
          <w:rFonts w:hint="eastAsia" w:ascii="仿宋_GB2312" w:hAnsi="仿宋" w:eastAsia="仿宋_GB2312"/>
          <w:b/>
          <w:sz w:val="32"/>
          <w:szCs w:val="32"/>
        </w:rPr>
        <w:t>.社会保障和就业支出（类）行政事业单位养老支出（款）机关事业单位职业年金缴费支出（项）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20.63</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增加1.55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增加8.12</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7</w:t>
      </w:r>
      <w:r>
        <w:rPr>
          <w:rFonts w:hint="eastAsia" w:ascii="仿宋_GB2312" w:hAnsi="仿宋" w:eastAsia="仿宋_GB2312"/>
          <w:b/>
          <w:sz w:val="32"/>
          <w:szCs w:val="32"/>
        </w:rPr>
        <w:t>.社会保障和就业支出（类）社会福利（款）老年福利（项）</w:t>
      </w:r>
      <w:r>
        <w:rPr>
          <w:rFonts w:hint="eastAsia" w:ascii="仿宋_GB2312" w:hAnsi="仿宋" w:eastAsia="仿宋_GB2312"/>
          <w:sz w:val="32"/>
          <w:szCs w:val="32"/>
          <w:lang w:eastAsia="zh-CN"/>
        </w:rPr>
        <w:t>2024年</w:t>
      </w:r>
      <w:r>
        <w:rPr>
          <w:rFonts w:hint="eastAsia" w:ascii="仿宋_GB2312" w:hAnsi="仿宋" w:eastAsia="仿宋_GB2312"/>
          <w:sz w:val="32"/>
          <w:szCs w:val="32"/>
        </w:rPr>
        <w:t>预</w:t>
      </w:r>
      <w:r>
        <w:rPr>
          <w:rFonts w:hint="eastAsia" w:ascii="仿宋_GB2312" w:hAnsi="仿宋" w:eastAsia="仿宋_GB2312"/>
          <w:sz w:val="32"/>
          <w:szCs w:val="32"/>
          <w:lang w:val="en-US" w:eastAsia="zh-CN"/>
        </w:rPr>
        <w:t>算925</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减少221</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下降19.28</w:t>
      </w:r>
      <w:r>
        <w:rPr>
          <w:rFonts w:hint="eastAsia" w:ascii="仿宋_GB2312" w:hAnsi="仿宋" w:eastAsia="仿宋_GB2312"/>
          <w:sz w:val="32"/>
          <w:szCs w:val="32"/>
        </w:rPr>
        <w:t>%，</w:t>
      </w:r>
      <w:r>
        <w:rPr>
          <w:rFonts w:hint="eastAsia" w:ascii="仿宋_GB2312" w:hAnsi="仿宋" w:eastAsia="仿宋_GB2312"/>
          <w:sz w:val="32"/>
          <w:szCs w:val="32"/>
          <w:lang w:val="en-US"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压减项目支出</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8</w:t>
      </w:r>
      <w:r>
        <w:rPr>
          <w:rFonts w:hint="eastAsia" w:ascii="仿宋_GB2312" w:hAnsi="仿宋" w:eastAsia="仿宋_GB2312"/>
          <w:b/>
          <w:sz w:val="32"/>
          <w:szCs w:val="32"/>
        </w:rPr>
        <w:t>.社会保障和就业支出（类）社会福利（款）养老服务（项）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50</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减少322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下降86.56</w:t>
      </w:r>
      <w:r>
        <w:rPr>
          <w:rFonts w:hint="eastAsia" w:ascii="仿宋_GB2312" w:hAnsi="仿宋" w:eastAsia="仿宋_GB2312"/>
          <w:sz w:val="32"/>
          <w:szCs w:val="32"/>
        </w:rPr>
        <w:t>%，</w:t>
      </w:r>
      <w:r>
        <w:rPr>
          <w:rFonts w:hint="eastAsia" w:ascii="仿宋_GB2312" w:hAnsi="仿宋" w:eastAsia="仿宋_GB2312"/>
          <w:sz w:val="32"/>
          <w:szCs w:val="32"/>
          <w:lang w:val="en-US" w:eastAsia="zh-CN"/>
        </w:rPr>
        <w:t>下降</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压减项目支出</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bCs/>
          <w:sz w:val="32"/>
          <w:szCs w:val="32"/>
          <w:lang w:val="en-US" w:eastAsia="zh-CN"/>
        </w:rPr>
        <w:t>9</w:t>
      </w:r>
      <w:r>
        <w:rPr>
          <w:rFonts w:hint="eastAsia" w:ascii="仿宋_GB2312" w:hAnsi="仿宋" w:eastAsia="仿宋_GB2312"/>
          <w:b/>
          <w:sz w:val="32"/>
          <w:szCs w:val="32"/>
        </w:rPr>
        <w:t>.卫生健康支出（类）行政事业单位医疗（款）行政单位医疗（项）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default" w:ascii="仿宋_GB2312" w:hAnsi="仿宋" w:eastAsia="仿宋_GB2312"/>
          <w:sz w:val="32"/>
          <w:szCs w:val="32"/>
          <w:lang w:val="en"/>
        </w:rPr>
        <w:t>15.</w:t>
      </w:r>
      <w:r>
        <w:rPr>
          <w:rFonts w:hint="eastAsia" w:ascii="仿宋_GB2312" w:hAnsi="仿宋" w:eastAsia="仿宋_GB2312"/>
          <w:sz w:val="32"/>
          <w:szCs w:val="32"/>
          <w:lang w:val="en-US" w:eastAsia="zh-CN"/>
        </w:rPr>
        <w:t>45</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增加1.13</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增长7.89</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10</w:t>
      </w:r>
      <w:r>
        <w:rPr>
          <w:rFonts w:hint="eastAsia" w:ascii="仿宋_GB2312" w:hAnsi="仿宋" w:eastAsia="仿宋_GB2312"/>
          <w:b/>
          <w:sz w:val="32"/>
          <w:szCs w:val="32"/>
        </w:rPr>
        <w:t>.卫生健康支出（类）行政事业单位医疗（款）公务员医疗补助（项）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10.03</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增加4.92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增加233.18</w:t>
      </w:r>
      <w:r>
        <w:rPr>
          <w:rFonts w:hint="eastAsia" w:ascii="仿宋_GB2312" w:hAnsi="仿宋" w:eastAsia="仿宋_GB2312"/>
          <w:sz w:val="32"/>
          <w:szCs w:val="32"/>
        </w:rPr>
        <w:t>%，增长原因主要是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pPr>
        <w:adjustRightInd w:val="0"/>
        <w:snapToGrid w:val="0"/>
        <w:spacing w:line="600" w:lineRule="exact"/>
        <w:ind w:firstLine="642" w:firstLineChars="200"/>
        <w:rPr>
          <w:rFonts w:hint="eastAsia" w:ascii="仿宋_GB2312" w:hAnsi="仿宋" w:eastAsia="仿宋_GB2312"/>
          <w:sz w:val="32"/>
          <w:szCs w:val="32"/>
        </w:rPr>
      </w:pPr>
      <w:r>
        <w:rPr>
          <w:rFonts w:hint="eastAsia" w:ascii="仿宋_GB2312" w:hAnsi="仿宋" w:eastAsia="仿宋_GB2312"/>
          <w:b/>
          <w:sz w:val="32"/>
          <w:szCs w:val="32"/>
          <w:lang w:val="en-US" w:eastAsia="zh-CN"/>
        </w:rPr>
        <w:t>11</w:t>
      </w:r>
      <w:r>
        <w:rPr>
          <w:rFonts w:hint="eastAsia" w:ascii="仿宋_GB2312" w:hAnsi="仿宋" w:eastAsia="仿宋_GB2312"/>
          <w:b/>
          <w:sz w:val="32"/>
          <w:szCs w:val="32"/>
        </w:rPr>
        <w:t>.住房保障支出（类）住房改革支出（款）住房公积金（项）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42.65</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增加5.88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增加15.99</w:t>
      </w:r>
      <w:r>
        <w:rPr>
          <w:rFonts w:hint="eastAsia" w:ascii="仿宋_GB2312" w:hAnsi="仿宋" w:eastAsia="仿宋_GB2312"/>
          <w:sz w:val="32"/>
          <w:szCs w:val="32"/>
        </w:rPr>
        <w:t>%，</w:t>
      </w:r>
      <w:r>
        <w:rPr>
          <w:rFonts w:hint="eastAsia" w:ascii="仿宋_GB2312" w:hAnsi="仿宋" w:eastAsia="仿宋_GB2312"/>
          <w:sz w:val="32"/>
          <w:szCs w:val="32"/>
          <w:lang w:val="en-US" w:eastAsia="zh-CN"/>
        </w:rPr>
        <w:t>增长</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基数调整</w:t>
      </w:r>
      <w:r>
        <w:rPr>
          <w:rFonts w:hint="eastAsia" w:ascii="仿宋_GB2312" w:hAnsi="仿宋" w:eastAsia="仿宋_GB2312"/>
          <w:sz w:val="32"/>
          <w:szCs w:val="32"/>
        </w:rPr>
        <w:t>。</w:t>
      </w:r>
    </w:p>
    <w:p>
      <w:pPr>
        <w:adjustRightInd w:val="0"/>
        <w:snapToGrid w:val="0"/>
        <w:spacing w:line="600" w:lineRule="exact"/>
        <w:ind w:firstLine="642" w:firstLineChars="200"/>
        <w:rPr>
          <w:rFonts w:ascii="TimesNewRoman" w:hAnsi="TimesNewRoman" w:eastAsia="楷体_GB2312" w:cs="TimesNewRoman"/>
          <w:color w:val="FF0000"/>
          <w:sz w:val="32"/>
          <w:szCs w:val="32"/>
        </w:rPr>
      </w:pPr>
      <w:r>
        <w:rPr>
          <w:rFonts w:hint="eastAsia" w:ascii="仿宋_GB2312" w:hAnsi="仿宋" w:eastAsia="仿宋_GB2312"/>
          <w:b/>
          <w:bCs/>
          <w:color w:val="auto"/>
          <w:sz w:val="32"/>
          <w:szCs w:val="32"/>
          <w:lang w:val="en-US" w:eastAsia="zh-CN"/>
        </w:rPr>
        <w:t>12</w:t>
      </w:r>
      <w:r>
        <w:rPr>
          <w:rFonts w:hint="eastAsia" w:ascii="仿宋_GB2312" w:hAnsi="仿宋" w:eastAsia="仿宋_GB2312"/>
          <w:color w:val="auto"/>
          <w:sz w:val="32"/>
          <w:szCs w:val="32"/>
          <w:lang w:val="en-US" w:eastAsia="zh-CN"/>
        </w:rPr>
        <w:t>.</w:t>
      </w:r>
      <w:r>
        <w:rPr>
          <w:rFonts w:hint="eastAsia" w:ascii="仿宋_GB2312" w:hAnsi="仿宋" w:eastAsia="仿宋_GB2312"/>
          <w:b/>
          <w:sz w:val="32"/>
          <w:szCs w:val="32"/>
        </w:rPr>
        <w:t>住房保障支出（类）住房改革支出（款）</w:t>
      </w:r>
      <w:r>
        <w:rPr>
          <w:rFonts w:hint="eastAsia" w:ascii="仿宋_GB2312" w:hAnsi="仿宋" w:eastAsia="仿宋_GB2312"/>
          <w:b/>
          <w:bCs/>
          <w:sz w:val="32"/>
          <w:szCs w:val="32"/>
          <w:lang w:val="en-US" w:eastAsia="zh-CN"/>
        </w:rPr>
        <w:t>购房补贴</w:t>
      </w:r>
      <w:r>
        <w:rPr>
          <w:rFonts w:hint="eastAsia" w:ascii="仿宋_GB2312" w:hAnsi="仿宋" w:eastAsia="仿宋_GB2312"/>
          <w:b/>
          <w:sz w:val="32"/>
          <w:szCs w:val="32"/>
        </w:rPr>
        <w:t>（项）</w:t>
      </w:r>
      <w:r>
        <w:rPr>
          <w:rFonts w:hint="eastAsia" w:ascii="仿宋_GB2312" w:hAnsi="仿宋" w:eastAsia="仿宋_GB2312"/>
          <w:sz w:val="32"/>
          <w:szCs w:val="32"/>
          <w:lang w:eastAsia="zh-CN"/>
        </w:rPr>
        <w:t>2024年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17.77</w:t>
      </w:r>
      <w:r>
        <w:rPr>
          <w:rFonts w:hint="eastAsia" w:ascii="仿宋_GB2312" w:hAnsi="仿宋" w:eastAsia="仿宋_GB2312"/>
          <w:sz w:val="32"/>
          <w:szCs w:val="32"/>
        </w:rPr>
        <w:t>万元，</w:t>
      </w:r>
      <w:r>
        <w:rPr>
          <w:rFonts w:hint="eastAsia" w:ascii="仿宋_GB2312" w:hAnsi="仿宋" w:eastAsia="仿宋_GB2312"/>
          <w:sz w:val="32"/>
          <w:szCs w:val="32"/>
          <w:lang w:eastAsia="zh-CN"/>
        </w:rPr>
        <w:t>比2023年</w:t>
      </w:r>
      <w:r>
        <w:rPr>
          <w:rFonts w:hint="eastAsia" w:ascii="仿宋_GB2312" w:hAnsi="仿宋" w:eastAsia="仿宋_GB2312"/>
          <w:sz w:val="32"/>
          <w:szCs w:val="32"/>
        </w:rPr>
        <w:t>预算</w:t>
      </w:r>
      <w:r>
        <w:rPr>
          <w:rFonts w:hint="eastAsia" w:ascii="仿宋_GB2312" w:hAnsi="仿宋" w:eastAsia="仿宋_GB2312"/>
          <w:sz w:val="32"/>
          <w:szCs w:val="32"/>
          <w:lang w:val="en-US" w:eastAsia="zh-CN"/>
        </w:rPr>
        <w:t>增加2.45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增加15.99</w:t>
      </w:r>
      <w:r>
        <w:rPr>
          <w:rFonts w:hint="eastAsia" w:ascii="仿宋_GB2312" w:hAnsi="仿宋" w:eastAsia="仿宋_GB2312"/>
          <w:sz w:val="32"/>
          <w:szCs w:val="32"/>
        </w:rPr>
        <w:t>%，</w:t>
      </w:r>
      <w:r>
        <w:rPr>
          <w:rFonts w:hint="eastAsia" w:ascii="仿宋_GB2312" w:hAnsi="仿宋" w:eastAsia="仿宋_GB2312"/>
          <w:sz w:val="32"/>
          <w:szCs w:val="32"/>
          <w:lang w:val="en-US"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val="en-US" w:eastAsia="zh-CN"/>
        </w:rPr>
        <w:t>调整</w:t>
      </w:r>
      <w:r>
        <w:rPr>
          <w:rFonts w:hint="eastAsia" w:ascii="仿宋_GB2312" w:hAnsi="仿宋" w:eastAsia="仿宋_GB2312"/>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六、关于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年一般公共预算基本支出表的说明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2024年一般公共预算基本支出</w:t>
      </w:r>
      <w:r>
        <w:rPr>
          <w:rFonts w:hint="eastAsia" w:ascii="仿宋_GB2312" w:hAnsi="仿宋_GB2312" w:eastAsia="仿宋_GB2312" w:cs="仿宋_GB2312"/>
          <w:kern w:val="0"/>
          <w:sz w:val="32"/>
          <w:szCs w:val="32"/>
          <w:lang w:val="en-US" w:eastAsia="zh-CN"/>
        </w:rPr>
        <w:t>597.22</w:t>
      </w:r>
      <w:r>
        <w:rPr>
          <w:rFonts w:hint="eastAsia" w:ascii="仿宋_GB2312" w:hAnsi="仿宋_GB2312" w:eastAsia="仿宋_GB2312" w:cs="仿宋_GB2312"/>
          <w:kern w:val="0"/>
          <w:sz w:val="32"/>
          <w:szCs w:val="32"/>
        </w:rPr>
        <w:t>万元，其中，人员经费</w:t>
      </w:r>
      <w:r>
        <w:rPr>
          <w:rFonts w:hint="eastAsia" w:ascii="仿宋_GB2312" w:hAnsi="仿宋_GB2312" w:eastAsia="仿宋_GB2312" w:cs="仿宋_GB2312"/>
          <w:kern w:val="0"/>
          <w:sz w:val="32"/>
          <w:szCs w:val="32"/>
          <w:lang w:val="en-US" w:eastAsia="zh-CN"/>
        </w:rPr>
        <w:t>539.48</w:t>
      </w:r>
      <w:r>
        <w:rPr>
          <w:rFonts w:hint="eastAsia" w:ascii="仿宋_GB2312" w:hAnsi="仿宋_GB2312" w:eastAsia="仿宋_GB2312" w:cs="仿宋_GB2312"/>
          <w:kern w:val="0"/>
          <w:sz w:val="32"/>
          <w:szCs w:val="32"/>
        </w:rPr>
        <w:t>万元，公用经费</w:t>
      </w:r>
      <w:r>
        <w:rPr>
          <w:rFonts w:hint="eastAsia" w:ascii="仿宋_GB2312" w:hAnsi="仿宋_GB2312" w:eastAsia="仿宋_GB2312" w:cs="仿宋_GB2312"/>
          <w:kern w:val="0"/>
          <w:sz w:val="32"/>
          <w:szCs w:val="32"/>
          <w:lang w:val="en-US" w:eastAsia="zh-CN"/>
        </w:rPr>
        <w:t>57.74</w:t>
      </w:r>
      <w:r>
        <w:rPr>
          <w:rFonts w:hint="eastAsia" w:ascii="仿宋_GB2312" w:hAnsi="仿宋_GB2312" w:eastAsia="仿宋_GB2312" w:cs="仿宋_GB2312"/>
          <w:kern w:val="0"/>
          <w:sz w:val="32"/>
          <w:szCs w:val="32"/>
        </w:rPr>
        <w:t>万元。</w:t>
      </w:r>
    </w:p>
    <w:p>
      <w:pPr>
        <w:ind w:firstLine="642"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（一）人员经费</w:t>
      </w:r>
      <w:r>
        <w:rPr>
          <w:rFonts w:hint="eastAsia" w:ascii="仿宋_GB2312" w:hAnsi="仿宋_GB2312" w:eastAsia="仿宋_GB2312" w:cs="仿宋_GB2312"/>
          <w:b/>
          <w:kern w:val="0"/>
          <w:sz w:val="32"/>
          <w:szCs w:val="32"/>
          <w:lang w:val="en-US" w:eastAsia="zh-CN"/>
        </w:rPr>
        <w:t>539.48</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　基本工资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津贴补贴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奖金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机关事业单位基本养老保险缴费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职业年金缴费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职工基本医疗保险缴费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公务员医疗补助缴费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其他社会保障缴费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住房公积金</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其他工资福利支出</w:t>
      </w:r>
      <w:r>
        <w:rPr>
          <w:rFonts w:hint="eastAsia" w:ascii="仿宋_GB2312" w:hAnsi="仿宋_GB2312" w:eastAsia="仿宋_GB2312" w:cs="仿宋_GB2312"/>
          <w:kern w:val="0"/>
          <w:sz w:val="32"/>
          <w:szCs w:val="32"/>
          <w:lang w:eastAsia="zh-CN"/>
        </w:rPr>
        <w:t>、离休费、退休费、生活补助、医疗费补助、其他对个人和家庭的补助</w:t>
      </w:r>
      <w:r>
        <w:rPr>
          <w:rFonts w:hint="eastAsia" w:ascii="仿宋_GB2312" w:hAnsi="仿宋_GB2312" w:eastAsia="仿宋_GB2312" w:cs="仿宋_GB2312"/>
          <w:kern w:val="0"/>
          <w:sz w:val="32"/>
          <w:szCs w:val="32"/>
        </w:rPr>
        <w:t>。</w:t>
      </w:r>
    </w:p>
    <w:p>
      <w:pPr>
        <w:ind w:firstLine="642"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kern w:val="0"/>
          <w:sz w:val="32"/>
          <w:szCs w:val="32"/>
        </w:rPr>
        <w:t>（二）公用经费</w:t>
      </w:r>
      <w:r>
        <w:rPr>
          <w:rFonts w:hint="eastAsia" w:ascii="仿宋_GB2312" w:hAnsi="仿宋_GB2312" w:eastAsia="仿宋_GB2312" w:cs="仿宋_GB2312"/>
          <w:b/>
          <w:kern w:val="0"/>
          <w:sz w:val="32"/>
          <w:szCs w:val="32"/>
          <w:lang w:val="en-US" w:eastAsia="zh-CN"/>
        </w:rPr>
        <w:t>57.74</w:t>
      </w:r>
      <w:r>
        <w:rPr>
          <w:rFonts w:hint="eastAsia" w:ascii="仿宋_GB2312" w:hAnsi="仿宋_GB2312" w:eastAsia="仿宋_GB2312" w:cs="仿宋_GB2312"/>
          <w:b/>
          <w:kern w:val="0"/>
          <w:sz w:val="32"/>
          <w:szCs w:val="32"/>
        </w:rPr>
        <w:t>万元，</w:t>
      </w:r>
      <w:r>
        <w:rPr>
          <w:rFonts w:hint="eastAsia" w:ascii="仿宋_GB2312" w:hAnsi="仿宋_GB2312" w:eastAsia="仿宋_GB2312" w:cs="仿宋_GB2312"/>
          <w:kern w:val="0"/>
          <w:sz w:val="32"/>
          <w:szCs w:val="32"/>
        </w:rPr>
        <w:t>主要包括：办公费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公务接待费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工会经费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福利费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其他交通费用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其他商品和服务支出</w:t>
      </w:r>
      <w:r>
        <w:rPr>
          <w:rFonts w:hint="eastAsia" w:ascii="仿宋_GB2312" w:hAnsi="仿宋_GB2312" w:eastAsia="仿宋_GB2312" w:cs="仿宋_GB2312"/>
          <w:kern w:val="0"/>
          <w:sz w:val="32"/>
          <w:szCs w:val="32"/>
          <w:lang w:eastAsia="zh-CN"/>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七、关于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年政府性基金预算支出表的说明</w:t>
      </w:r>
    </w:p>
    <w:p>
      <w:pPr>
        <w:pStyle w:val="8"/>
        <w:adjustRightInd w:val="0"/>
        <w:snapToGrid w:val="0"/>
        <w:spacing w:line="560" w:lineRule="exact"/>
        <w:ind w:firstLine="627" w:firstLineChars="196"/>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淮北市民政局2024年政府性基金支出795万元，比2023年预算增加260万元，增加48.60%，原因主要是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lang w:val="en-US" w:eastAsia="zh-CN" w:bidi="ar-SA"/>
        </w:rPr>
        <w:t>。具体情况如下：</w:t>
      </w:r>
    </w:p>
    <w:p>
      <w:pPr>
        <w:pStyle w:val="8"/>
        <w:adjustRightInd w:val="0"/>
        <w:snapToGrid w:val="0"/>
        <w:spacing w:line="560" w:lineRule="exact"/>
        <w:ind w:firstLine="629" w:firstLineChars="196"/>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（一）其他支出（类）彩票公益金安排的支出（款）用于社会福利的彩票公益金支出（项）</w:t>
      </w:r>
      <w:r>
        <w:rPr>
          <w:rFonts w:hint="eastAsia" w:ascii="仿宋_GB2312" w:hAnsi="仿宋_GB2312" w:eastAsia="仿宋_GB2312" w:cs="仿宋_GB2312"/>
          <w:kern w:val="0"/>
          <w:sz w:val="32"/>
          <w:szCs w:val="32"/>
          <w:lang w:val="en-US" w:eastAsia="zh-CN" w:bidi="ar-SA"/>
        </w:rPr>
        <w:t>795万元，比2023年预算增加260万元，增加48.60%，原因主要是</w:t>
      </w:r>
      <w:r>
        <w:rPr>
          <w:rFonts w:hint="eastAsia" w:ascii="仿宋_GB2312" w:hAnsi="仿宋_GB2312" w:eastAsia="仿宋_GB2312" w:cs="仿宋_GB2312"/>
          <w:kern w:val="0"/>
          <w:sz w:val="32"/>
          <w:szCs w:val="32"/>
          <w:lang w:val="en-US" w:eastAsia="zh-CN"/>
        </w:rPr>
        <w:t>最低生活保障等项目标准提高</w:t>
      </w:r>
      <w:r>
        <w:rPr>
          <w:rFonts w:hint="eastAsia" w:ascii="仿宋_GB2312" w:hAnsi="仿宋_GB2312" w:eastAsia="仿宋_GB2312" w:cs="仿宋_GB2312"/>
          <w:kern w:val="0"/>
          <w:sz w:val="32"/>
          <w:szCs w:val="32"/>
          <w:lang w:val="en-US" w:eastAsia="zh-CN" w:bidi="ar-SA"/>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八、关于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年国有资本经营预算支出表的说明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2024年没有国有资本经营预算拨款收入，也没有使用国有资本经营预算拨款安排的支出。</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九、关于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年项目支出表的说明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2024年预算共安排项目支出</w:t>
      </w:r>
      <w:r>
        <w:rPr>
          <w:rFonts w:hint="eastAsia" w:ascii="仿宋_GB2312" w:hAnsi="仿宋_GB2312" w:eastAsia="仿宋_GB2312" w:cs="仿宋_GB2312"/>
          <w:kern w:val="0"/>
          <w:sz w:val="32"/>
          <w:szCs w:val="32"/>
          <w:lang w:val="en-US" w:eastAsia="zh-CN"/>
        </w:rPr>
        <w:t>2001</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减少285</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减少12.47</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压减支出</w:t>
      </w:r>
      <w:r>
        <w:rPr>
          <w:rFonts w:hint="eastAsia" w:ascii="仿宋_GB2312" w:hAnsi="仿宋_GB2312" w:eastAsia="仿宋_GB2312" w:cs="仿宋_GB2312"/>
          <w:kern w:val="0"/>
          <w:sz w:val="32"/>
          <w:szCs w:val="32"/>
        </w:rPr>
        <w:t>。主要包括：本年财政拨款安排</w:t>
      </w:r>
      <w:r>
        <w:rPr>
          <w:rFonts w:hint="eastAsia" w:ascii="仿宋_GB2312" w:hAnsi="仿宋_GB2312" w:eastAsia="仿宋_GB2312" w:cs="仿宋_GB2312"/>
          <w:kern w:val="0"/>
          <w:sz w:val="32"/>
          <w:szCs w:val="32"/>
          <w:lang w:val="en-US" w:eastAsia="zh-CN"/>
        </w:rPr>
        <w:t>2001</w:t>
      </w:r>
      <w:r>
        <w:rPr>
          <w:rFonts w:hint="eastAsia" w:ascii="仿宋_GB2312" w:hAnsi="仿宋_GB2312" w:eastAsia="仿宋_GB2312" w:cs="仿宋_GB2312"/>
          <w:kern w:val="0"/>
          <w:sz w:val="32"/>
          <w:szCs w:val="32"/>
        </w:rPr>
        <w:t>万元（其中，一般公共预算拨款安排</w:t>
      </w:r>
      <w:r>
        <w:rPr>
          <w:rFonts w:hint="eastAsia" w:ascii="仿宋_GB2312" w:hAnsi="仿宋_GB2312" w:eastAsia="仿宋_GB2312" w:cs="仿宋_GB2312"/>
          <w:kern w:val="0"/>
          <w:sz w:val="32"/>
          <w:szCs w:val="32"/>
          <w:lang w:val="en-US" w:eastAsia="zh-CN"/>
        </w:rPr>
        <w:t>1206</w:t>
      </w:r>
      <w:r>
        <w:rPr>
          <w:rFonts w:hint="eastAsia" w:ascii="仿宋_GB2312" w:hAnsi="仿宋_GB2312" w:eastAsia="仿宋_GB2312" w:cs="仿宋_GB2312"/>
          <w:kern w:val="0"/>
          <w:sz w:val="32"/>
          <w:szCs w:val="32"/>
        </w:rPr>
        <w:t>万元，政府性基金预算拨款安排</w:t>
      </w:r>
      <w:r>
        <w:rPr>
          <w:rFonts w:hint="eastAsia" w:ascii="仿宋_GB2312" w:hAnsi="仿宋_GB2312" w:eastAsia="仿宋_GB2312" w:cs="仿宋_GB2312"/>
          <w:kern w:val="0"/>
          <w:sz w:val="32"/>
          <w:szCs w:val="32"/>
          <w:lang w:val="en-US" w:eastAsia="zh-CN"/>
        </w:rPr>
        <w:t>795</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年政府采购支出表的说明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2024年预算安排政府采购支出</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万元，比2023年预算减少</w:t>
      </w:r>
      <w:r>
        <w:rPr>
          <w:rFonts w:hint="eastAsia" w:ascii="仿宋_GB2312" w:hAnsi="仿宋_GB2312" w:eastAsia="仿宋_GB2312" w:cs="仿宋_GB2312"/>
          <w:kern w:val="0"/>
          <w:sz w:val="32"/>
          <w:szCs w:val="32"/>
          <w:lang w:val="en-US" w:eastAsia="zh-CN"/>
        </w:rPr>
        <w:t>492.28</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95.53</w:t>
      </w:r>
      <w:r>
        <w:rPr>
          <w:rFonts w:hint="eastAsia" w:ascii="仿宋_GB2312" w:hAnsi="仿宋_GB2312" w:eastAsia="仿宋_GB2312" w:cs="仿宋_GB2312"/>
          <w:kern w:val="0"/>
          <w:sz w:val="32"/>
          <w:szCs w:val="32"/>
        </w:rPr>
        <w:t>%，原因主要</w:t>
      </w:r>
      <w:r>
        <w:rPr>
          <w:rFonts w:hint="eastAsia" w:ascii="仿宋_GB2312" w:hAnsi="仿宋_GB2312" w:eastAsia="仿宋_GB2312" w:cs="仿宋_GB2312"/>
          <w:kern w:val="0"/>
          <w:sz w:val="32"/>
          <w:szCs w:val="32"/>
          <w:lang w:val="en-US" w:eastAsia="zh-CN"/>
        </w:rPr>
        <w:t>是采购项目减少</w:t>
      </w:r>
      <w:r>
        <w:rPr>
          <w:rFonts w:hint="eastAsia" w:ascii="仿宋_GB2312" w:hAnsi="仿宋_GB2312" w:eastAsia="仿宋_GB2312" w:cs="仿宋_GB2312"/>
          <w:kern w:val="0"/>
          <w:sz w:val="32"/>
          <w:szCs w:val="32"/>
        </w:rPr>
        <w:t>。其中，一般公共预算安排</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万元，占</w:t>
      </w:r>
      <w:r>
        <w:rPr>
          <w:rFonts w:hint="eastAsia" w:ascii="仿宋_GB2312" w:hAnsi="仿宋_GB2312" w:eastAsia="仿宋_GB2312" w:cs="仿宋_GB2312"/>
          <w:kern w:val="0"/>
          <w:sz w:val="32"/>
          <w:szCs w:val="32"/>
          <w:lang w:val="en-US" w:eastAsia="zh-CN"/>
        </w:rPr>
        <w:t>100</w:t>
      </w:r>
      <w:r>
        <w:rPr>
          <w:rFonts w:hint="eastAsia" w:ascii="仿宋_GB2312" w:hAnsi="仿宋_GB2312" w:eastAsia="仿宋_GB2312" w:cs="仿宋_GB2312"/>
          <w:kern w:val="0"/>
          <w:sz w:val="32"/>
          <w:szCs w:val="32"/>
        </w:rPr>
        <w:t>%；政府性基金预算安排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万元；财政专户管理资金安排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十一、关于</w:t>
      </w:r>
      <w:r>
        <w:rPr>
          <w:rFonts w:hint="eastAsia" w:ascii="黑体" w:hAnsi="黑体" w:eastAsia="黑体" w:cs="黑体"/>
          <w:bCs/>
          <w:sz w:val="32"/>
          <w:szCs w:val="32"/>
        </w:rPr>
        <w:t>2024</w:t>
      </w:r>
      <w:r>
        <w:rPr>
          <w:rFonts w:hint="eastAsia" w:ascii="TimesNewRoman" w:hAnsi="TimesNewRoman" w:eastAsia="黑体" w:cs="TimesNewRoman"/>
          <w:bCs/>
          <w:sz w:val="32"/>
          <w:szCs w:val="32"/>
        </w:rPr>
        <w:t>年政府购买服务支出表的说明</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2024年预算安排政府购买服务支出</w:t>
      </w:r>
      <w:r>
        <w:rPr>
          <w:rFonts w:hint="eastAsia" w:ascii="仿宋_GB2312" w:hAnsi="仿宋_GB2312" w:eastAsia="仿宋_GB2312" w:cs="仿宋_GB2312"/>
          <w:kern w:val="0"/>
          <w:sz w:val="32"/>
          <w:szCs w:val="32"/>
          <w:lang w:val="en-US" w:eastAsia="zh-CN"/>
        </w:rPr>
        <w:t>514</w:t>
      </w:r>
      <w:r>
        <w:rPr>
          <w:rFonts w:hint="eastAsia" w:ascii="仿宋_GB2312" w:hAnsi="仿宋_GB2312" w:eastAsia="仿宋_GB2312" w:cs="仿宋_GB2312"/>
          <w:kern w:val="0"/>
          <w:sz w:val="32"/>
          <w:szCs w:val="32"/>
        </w:rPr>
        <w:t>万元，比2023年预算减少</w:t>
      </w:r>
      <w:r>
        <w:rPr>
          <w:rFonts w:hint="eastAsia" w:ascii="仿宋_GB2312" w:hAnsi="仿宋_GB2312" w:eastAsia="仿宋_GB2312" w:cs="仿宋_GB2312"/>
          <w:kern w:val="0"/>
          <w:sz w:val="32"/>
          <w:szCs w:val="32"/>
          <w:lang w:val="en-US" w:eastAsia="zh-CN"/>
        </w:rPr>
        <w:t>124</w:t>
      </w:r>
      <w:r>
        <w:rPr>
          <w:rFonts w:hint="eastAsia" w:ascii="仿宋_GB2312" w:hAnsi="仿宋_GB2312" w:eastAsia="仿宋_GB2312" w:cs="仿宋_GB2312"/>
          <w:kern w:val="0"/>
          <w:sz w:val="32"/>
          <w:szCs w:val="32"/>
        </w:rPr>
        <w:t>万元，下降</w:t>
      </w:r>
      <w:r>
        <w:rPr>
          <w:rFonts w:hint="eastAsia" w:ascii="仿宋_GB2312" w:hAnsi="仿宋_GB2312" w:eastAsia="仿宋_GB2312" w:cs="仿宋_GB2312"/>
          <w:kern w:val="0"/>
          <w:sz w:val="32"/>
          <w:szCs w:val="32"/>
          <w:lang w:val="en-US" w:eastAsia="zh-CN"/>
        </w:rPr>
        <w:t>19.44</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取消部分政府购买服务项目</w:t>
      </w:r>
      <w:r>
        <w:rPr>
          <w:rFonts w:hint="eastAsia" w:ascii="仿宋_GB2312" w:hAnsi="仿宋_GB2312" w:eastAsia="仿宋_GB2312" w:cs="仿宋_GB2312"/>
          <w:kern w:val="0"/>
          <w:sz w:val="32"/>
          <w:szCs w:val="32"/>
        </w:rPr>
        <w:t>。</w:t>
      </w:r>
    </w:p>
    <w:p>
      <w:pPr>
        <w:pStyle w:val="8"/>
        <w:adjustRightInd w:val="0"/>
        <w:snapToGrid w:val="0"/>
        <w:spacing w:line="560" w:lineRule="exact"/>
        <w:ind w:firstLine="627" w:firstLineChars="196"/>
        <w:rPr>
          <w:rFonts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1.“社会养老机构建设及运营补贴”项目。</w:t>
      </w:r>
    </w:p>
    <w:p>
      <w:pPr>
        <w:adjustRightInd w:val="0"/>
        <w:snapToGrid w:val="0"/>
        <w:spacing w:line="600" w:lineRule="exact"/>
        <w:ind w:firstLine="640" w:firstLineChars="200"/>
        <w:rPr>
          <w:rFonts w:hint="default" w:ascii="仿宋_GB2312" w:hAnsi="楷体" w:eastAsia="仿宋_GB2312"/>
          <w:color w:val="auto"/>
          <w:sz w:val="32"/>
          <w:szCs w:val="32"/>
          <w:lang w:val="en-US" w:eastAsia="zh-CN"/>
        </w:rPr>
      </w:pPr>
      <w:r>
        <w:rPr>
          <w:rFonts w:hint="eastAsia" w:ascii="仿宋_GB2312" w:hAnsi="楷体" w:eastAsia="仿宋_GB2312"/>
          <w:sz w:val="32"/>
          <w:szCs w:val="32"/>
        </w:rPr>
        <w:t>（1）</w:t>
      </w:r>
      <w:r>
        <w:rPr>
          <w:rFonts w:hint="eastAsia" w:ascii="仿宋_GB2312" w:hAnsi="楷体" w:eastAsia="仿宋_GB2312"/>
          <w:color w:val="auto"/>
          <w:sz w:val="32"/>
          <w:szCs w:val="32"/>
        </w:rPr>
        <w:t>项目概述</w:t>
      </w:r>
      <w:r>
        <w:rPr>
          <w:rFonts w:hint="eastAsia" w:ascii="仿宋_GB2312" w:hAnsi="楷体" w:eastAsia="仿宋_GB2312"/>
          <w:color w:val="auto"/>
          <w:sz w:val="32"/>
          <w:szCs w:val="32"/>
          <w:lang w:eastAsia="zh-CN"/>
        </w:rPr>
        <w:t>：为市辖三区的社会养老机构建设和运营提供补贴。</w:t>
      </w:r>
      <w:r>
        <w:rPr>
          <w:rFonts w:hint="eastAsia" w:ascii="仿宋_GB2312" w:hAnsi="楷体" w:eastAsia="仿宋_GB2312"/>
          <w:color w:val="auto"/>
          <w:sz w:val="32"/>
          <w:szCs w:val="32"/>
        </w:rPr>
        <w:t>运营补贴：</w:t>
      </w:r>
      <w:r>
        <w:rPr>
          <w:rFonts w:hint="eastAsia" w:ascii="仿宋_GB2312" w:hAnsi="楷体" w:eastAsia="仿宋_GB2312"/>
          <w:color w:val="auto"/>
          <w:sz w:val="32"/>
          <w:szCs w:val="32"/>
          <w:lang w:val="en-US" w:eastAsia="zh-CN"/>
        </w:rPr>
        <w:t>三区按照养老机构运营补助标准发放，对已建成并投入运营的养老机构根据实际入住的人数给予运营补贴（不含自理老人）。</w:t>
      </w:r>
    </w:p>
    <w:p>
      <w:pPr>
        <w:numPr>
          <w:ilvl w:val="0"/>
          <w:numId w:val="0"/>
        </w:numPr>
        <w:adjustRightInd w:val="0"/>
        <w:snapToGrid w:val="0"/>
        <w:spacing w:line="600" w:lineRule="exact"/>
        <w:ind w:left="210" w:leftChars="0" w:firstLine="640" w:firstLineChars="0"/>
        <w:rPr>
          <w:rFonts w:hint="eastAsia" w:ascii="仿宋_GB2312" w:hAnsi="楷体" w:eastAsia="仿宋_GB2312"/>
          <w:sz w:val="32"/>
          <w:szCs w:val="32"/>
          <w:lang w:eastAsia="zh-CN"/>
        </w:rPr>
      </w:pPr>
      <w:r>
        <w:rPr>
          <w:rFonts w:hint="eastAsia" w:ascii="仿宋_GB2312" w:hAnsi="楷体" w:eastAsia="仿宋_GB2312" w:cstheme="minorBidi"/>
          <w:kern w:val="2"/>
          <w:sz w:val="32"/>
          <w:szCs w:val="32"/>
          <w:lang w:val="en-US" w:eastAsia="zh-CN" w:bidi="ar-SA"/>
        </w:rPr>
        <w:t>（2）</w:t>
      </w:r>
      <w:r>
        <w:rPr>
          <w:rFonts w:hint="eastAsia" w:ascii="仿宋_GB2312" w:hAnsi="楷体" w:eastAsia="仿宋_GB2312"/>
          <w:sz w:val="32"/>
          <w:szCs w:val="32"/>
        </w:rPr>
        <w:t>立项依据</w:t>
      </w:r>
      <w:r>
        <w:rPr>
          <w:rFonts w:hint="eastAsia" w:ascii="仿宋_GB2312" w:hAnsi="楷体" w:eastAsia="仿宋_GB2312"/>
          <w:sz w:val="32"/>
          <w:szCs w:val="32"/>
          <w:lang w:eastAsia="zh-CN"/>
        </w:rPr>
        <w:t>：为民生工程任务。淮民社救〔2022〕5号：关于印发《淮北市城乡居民最低生活保障实施方案》等七项民生工程实施方案的通知。</w:t>
      </w:r>
    </w:p>
    <w:p>
      <w:pPr>
        <w:numPr>
          <w:ilvl w:val="0"/>
          <w:numId w:val="0"/>
        </w:numPr>
        <w:adjustRightInd w:val="0"/>
        <w:snapToGrid w:val="0"/>
        <w:spacing w:line="600" w:lineRule="exact"/>
        <w:ind w:left="210" w:leftChars="0" w:firstLine="640" w:firstLineChars="0"/>
        <w:rPr>
          <w:rFonts w:hint="eastAsia" w:ascii="仿宋_GB2312" w:hAnsi="楷体" w:eastAsia="仿宋_GB2312"/>
          <w:color w:val="auto"/>
          <w:sz w:val="32"/>
          <w:szCs w:val="32"/>
        </w:rPr>
      </w:pPr>
      <w:r>
        <w:rPr>
          <w:rFonts w:hint="eastAsia" w:ascii="仿宋_GB2312" w:hAnsi="楷体" w:eastAsia="仿宋_GB2312" w:cstheme="minorBidi"/>
          <w:color w:val="auto"/>
          <w:kern w:val="2"/>
          <w:sz w:val="32"/>
          <w:szCs w:val="32"/>
          <w:lang w:val="en-US" w:eastAsia="zh-CN" w:bidi="ar-SA"/>
        </w:rPr>
        <w:t>（3）</w:t>
      </w:r>
      <w:r>
        <w:rPr>
          <w:rFonts w:hint="eastAsia" w:ascii="仿宋_GB2312" w:hAnsi="楷体" w:eastAsia="仿宋_GB2312"/>
          <w:sz w:val="32"/>
          <w:szCs w:val="32"/>
        </w:rPr>
        <w:t>实施主体</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养老服务科</w:t>
      </w:r>
    </w:p>
    <w:p>
      <w:pPr>
        <w:numPr>
          <w:ilvl w:val="0"/>
          <w:numId w:val="0"/>
        </w:numPr>
        <w:adjustRightInd w:val="0"/>
        <w:snapToGrid w:val="0"/>
        <w:spacing w:line="600" w:lineRule="exact"/>
        <w:ind w:left="210" w:leftChars="0" w:firstLine="640" w:firstLineChars="0"/>
        <w:rPr>
          <w:rFonts w:hint="eastAsia" w:ascii="仿宋_GB2312" w:hAnsi="楷体" w:eastAsia="仿宋_GB2312"/>
          <w:sz w:val="32"/>
          <w:szCs w:val="32"/>
        </w:rPr>
      </w:pPr>
      <w:r>
        <w:rPr>
          <w:rFonts w:hint="eastAsia" w:ascii="仿宋_GB2312" w:hAnsi="楷体" w:eastAsia="仿宋_GB2312" w:cstheme="minorBidi"/>
          <w:kern w:val="2"/>
          <w:sz w:val="32"/>
          <w:szCs w:val="32"/>
          <w:lang w:val="en-US" w:eastAsia="zh-CN" w:bidi="ar-SA"/>
        </w:rPr>
        <w:t>（4）</w:t>
      </w:r>
      <w:r>
        <w:rPr>
          <w:rFonts w:hint="eastAsia" w:ascii="仿宋_GB2312" w:hAnsi="楷体" w:eastAsia="仿宋_GB2312"/>
          <w:sz w:val="32"/>
          <w:szCs w:val="32"/>
        </w:rPr>
        <w:t>起止时间</w:t>
      </w:r>
      <w:r>
        <w:rPr>
          <w:rFonts w:hint="eastAsia" w:ascii="仿宋_GB2312" w:hAnsi="楷体" w:eastAsia="仿宋_GB2312"/>
          <w:sz w:val="32"/>
          <w:szCs w:val="32"/>
          <w:lang w:eastAsia="zh-CN"/>
        </w:rPr>
        <w:t>：</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（5）</w:t>
      </w:r>
      <w:r>
        <w:rPr>
          <w:rFonts w:hint="eastAsia" w:ascii="仿宋_GB2312" w:hAnsi="楷体" w:eastAsia="仿宋_GB2312"/>
          <w:sz w:val="32"/>
          <w:szCs w:val="32"/>
        </w:rPr>
        <w:t>项目内容</w:t>
      </w:r>
      <w:r>
        <w:rPr>
          <w:rFonts w:hint="eastAsia" w:ascii="仿宋_GB2312" w:hAnsi="楷体" w:eastAsia="仿宋_GB2312"/>
          <w:sz w:val="32"/>
          <w:szCs w:val="32"/>
          <w:lang w:eastAsia="zh-CN"/>
        </w:rPr>
        <w:t>：实施社会养老服务体系建设民生工程，按时完成民办养老机构运营补助发放任务。</w:t>
      </w:r>
    </w:p>
    <w:p>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（6）</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w:t>
      </w:r>
      <w:r>
        <w:rPr>
          <w:rFonts w:hint="eastAsia" w:ascii="仿宋_GB2312" w:hAnsi="仿宋" w:eastAsia="仿宋_GB2312"/>
          <w:sz w:val="32"/>
          <w:szCs w:val="32"/>
          <w:lang w:val="en-US" w:eastAsia="zh-CN"/>
        </w:rPr>
        <w:t>89万元</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：不断丰富老年人的物质精神生活，有效增加社会养老服务床位，落实一次性建设补助、运营补助政策发放，提升社会办养老机构管理运营水平。</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eastAsia="zh-CN"/>
        </w:rPr>
        <w:br w:type="page"/>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社会养老机构建设及运营补贴</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auto"/>
                <w:sz w:val="20"/>
                <w:szCs w:val="20"/>
              </w:rPr>
              <w:t>养老服务科</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0"/>
                <w:szCs w:val="20"/>
                <w:lang w:val="en-US" w:eastAsia="zh-CN"/>
              </w:rPr>
            </w:pPr>
            <w:r>
              <w:rPr>
                <w:rFonts w:hint="eastAsia"/>
                <w:sz w:val="20"/>
                <w:szCs w:val="20"/>
                <w:lang w:val="en-US" w:eastAsia="zh-CN"/>
              </w:rPr>
              <w:t>44.5</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89</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0"/>
                <w:szCs w:val="20"/>
                <w:lang w:val="en-US" w:eastAsia="zh-CN"/>
              </w:rPr>
            </w:pPr>
            <w:r>
              <w:rPr>
                <w:rFonts w:hint="eastAsia"/>
                <w:sz w:val="20"/>
                <w:szCs w:val="20"/>
                <w:lang w:val="en-US" w:eastAsia="zh-CN"/>
              </w:rPr>
              <w:t>44.5</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89</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不断丰富老年人的物质精神生活，有效增加社会养老服务床位，落实一次性建设补助、运营补助政策发放，提升社会办养老机构管理运营水平。</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ascii="宋体" w:hAnsi="宋体" w:cs="宋体"/>
                <w:sz w:val="20"/>
                <w:szCs w:val="20"/>
                <w:lang w:eastAsia="zh-CN"/>
              </w:rPr>
              <w:t>不断丰富老年人的物质精神生活，有效增加社会养老服务床位，落实一次性建设补助、运营补助政策发放，提升社会办养老机构管理运营水平。</w:t>
            </w:r>
          </w:p>
        </w:tc>
      </w:tr>
      <w:tr>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color w:val="auto"/>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color w:val="auto"/>
                <w:sz w:val="20"/>
                <w:szCs w:val="20"/>
                <w:lang w:val="en-US" w:eastAsia="zh-CN"/>
              </w:rPr>
              <w:t>三区的养老机构</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0"/>
                <w:szCs w:val="20"/>
              </w:rPr>
            </w:pPr>
            <w:r>
              <w:rPr>
                <w:rFonts w:hint="eastAsia"/>
                <w:color w:val="auto"/>
                <w:sz w:val="20"/>
                <w:szCs w:val="20"/>
              </w:rPr>
              <w:t>数量</w:t>
            </w:r>
          </w:p>
          <w:p>
            <w:pPr>
              <w:jc w:val="center"/>
              <w:rPr>
                <w:rFonts w:ascii="宋体" w:hAnsi="宋体" w:cs="宋体"/>
                <w:color w:val="auto"/>
                <w:sz w:val="20"/>
                <w:szCs w:val="20"/>
              </w:rPr>
            </w:pPr>
            <w:r>
              <w:rPr>
                <w:rFonts w:hint="eastAsia"/>
                <w:color w:val="auto"/>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kern w:val="2"/>
                <w:sz w:val="20"/>
                <w:szCs w:val="20"/>
                <w:lang w:val="en-US" w:eastAsia="zh-CN" w:bidi="ar-SA"/>
              </w:rPr>
            </w:pPr>
            <w:r>
              <w:rPr>
                <w:rFonts w:hint="eastAsia"/>
                <w:color w:val="auto"/>
                <w:sz w:val="20"/>
                <w:szCs w:val="20"/>
                <w:lang w:val="en-US" w:eastAsia="zh-CN"/>
              </w:rPr>
              <w:t>三区的养老机构</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0"/>
                <w:szCs w:val="20"/>
              </w:rPr>
            </w:pPr>
            <w:r>
              <w:rPr>
                <w:rFonts w:hint="eastAsia" w:ascii="宋体" w:hAnsi="宋体" w:cs="宋体"/>
                <w:color w:val="auto"/>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default" w:ascii="宋体" w:hAnsi="宋体" w:eastAsia="宋体" w:cs="宋体"/>
                <w:sz w:val="20"/>
                <w:szCs w:val="20"/>
                <w:lang w:val="en-US" w:eastAsia="zh-CN"/>
              </w:rPr>
              <w:t>有效增加社会养老服务床位，落实一次性建设补助、</w:t>
            </w:r>
            <w:r>
              <w:rPr>
                <w:rFonts w:hint="eastAsia" w:ascii="宋体" w:hAnsi="宋体" w:cs="宋体"/>
                <w:sz w:val="20"/>
                <w:szCs w:val="20"/>
                <w:lang w:val="en-US" w:eastAsia="zh-CN"/>
              </w:rPr>
              <w:t>发放</w:t>
            </w:r>
            <w:r>
              <w:rPr>
                <w:rFonts w:hint="default" w:ascii="宋体" w:hAnsi="宋体" w:eastAsia="宋体" w:cs="宋体"/>
                <w:sz w:val="20"/>
                <w:szCs w:val="20"/>
                <w:lang w:val="en-US" w:eastAsia="zh-CN"/>
              </w:rPr>
              <w:t>运营补助</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有效增加社会养老服务床位，落实一次性建设补助、</w:t>
            </w:r>
            <w:r>
              <w:rPr>
                <w:rFonts w:hint="eastAsia" w:ascii="宋体" w:hAnsi="宋体" w:cs="宋体"/>
                <w:sz w:val="20"/>
                <w:szCs w:val="20"/>
                <w:lang w:val="en-US" w:eastAsia="zh-CN"/>
              </w:rPr>
              <w:t>发放</w:t>
            </w:r>
            <w:r>
              <w:rPr>
                <w:rFonts w:hint="default" w:ascii="宋体" w:hAnsi="宋体" w:eastAsia="宋体" w:cs="宋体"/>
                <w:sz w:val="20"/>
                <w:szCs w:val="20"/>
                <w:lang w:val="en-US" w:eastAsia="zh-CN"/>
              </w:rPr>
              <w:t>运营补助</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及时发放各类资金</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及时发放各类资金</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rPr>
              <w:t xml:space="preserve"> 拉动社会资本投入社会办养老机构资金</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达成预期指标。</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kern w:val="2"/>
                <w:sz w:val="20"/>
                <w:szCs w:val="20"/>
                <w:lang w:val="en-US" w:eastAsia="zh-CN" w:bidi="ar-SA"/>
              </w:rPr>
            </w:pPr>
            <w:r>
              <w:rPr>
                <w:rFonts w:hint="eastAsia"/>
                <w:sz w:val="20"/>
                <w:szCs w:val="20"/>
              </w:rPr>
              <w:t xml:space="preserve"> 拉动社会资本投入社会办养老机构资金</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达成预期指标。</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社会效益指标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0"/>
                <w:szCs w:val="20"/>
                <w:lang w:eastAsia="zh-CN"/>
              </w:rPr>
            </w:pPr>
            <w:r>
              <w:rPr>
                <w:rFonts w:hint="eastAsia" w:ascii="宋体" w:hAnsi="宋体" w:cs="宋体"/>
                <w:sz w:val="20"/>
                <w:szCs w:val="20"/>
                <w:lang w:eastAsia="zh-CN"/>
              </w:rPr>
              <w:t>丰富老年人物质精神活动，促进养老产业发展</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 w:val="20"/>
                <w:szCs w:val="20"/>
                <w:lang w:val="en-US" w:eastAsia="zh-CN"/>
              </w:rPr>
            </w:pPr>
            <w:r>
              <w:rPr>
                <w:rFonts w:hint="eastAsia" w:ascii="宋体" w:hAnsi="宋体" w:cs="宋体"/>
                <w:sz w:val="20"/>
                <w:szCs w:val="20"/>
                <w:lang w:val="en-US" w:eastAsia="zh-CN"/>
              </w:rPr>
              <w:t>20</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0"/>
                <w:szCs w:val="20"/>
                <w:lang w:val="en-US" w:eastAsia="zh-CN"/>
              </w:rPr>
            </w:pPr>
            <w:r>
              <w:rPr>
                <w:rFonts w:hint="eastAsia"/>
                <w:sz w:val="20"/>
                <w:szCs w:val="20"/>
                <w:lang w:eastAsia="zh-CN"/>
              </w:rPr>
              <w:t>达成预期指标。</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hint="eastAsia"/>
                <w:sz w:val="20"/>
                <w:szCs w:val="20"/>
              </w:rPr>
            </w:pPr>
            <w:r>
              <w:rPr>
                <w:rFonts w:hint="eastAsia"/>
                <w:sz w:val="20"/>
                <w:szCs w:val="20"/>
              </w:rPr>
              <w:t>益指标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0"/>
                <w:szCs w:val="20"/>
                <w:lang w:eastAsia="zh-CN"/>
              </w:rPr>
            </w:pPr>
            <w:r>
              <w:rPr>
                <w:rFonts w:hint="eastAsia" w:ascii="宋体" w:hAnsi="宋体" w:cs="宋体"/>
                <w:sz w:val="20"/>
                <w:szCs w:val="20"/>
                <w:lang w:eastAsia="zh-CN"/>
              </w:rPr>
              <w:t>丰富老年人物质精神活动，促进养老产业发展</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cs="宋体"/>
                <w:sz w:val="20"/>
                <w:szCs w:val="20"/>
                <w:lang w:val="en-US" w:eastAsia="zh-CN"/>
              </w:rPr>
            </w:pPr>
            <w:r>
              <w:rPr>
                <w:rFonts w:hint="eastAsia" w:ascii="宋体" w:hAnsi="宋体" w:cs="宋体"/>
                <w:sz w:val="20"/>
                <w:szCs w:val="20"/>
                <w:lang w:val="en-US" w:eastAsia="zh-CN"/>
              </w:rPr>
              <w:t>20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0"/>
                <w:szCs w:val="20"/>
                <w:lang w:val="en-US" w:eastAsia="zh-CN"/>
              </w:rPr>
            </w:pPr>
            <w:r>
              <w:rPr>
                <w:rFonts w:hint="eastAsia"/>
                <w:sz w:val="20"/>
                <w:szCs w:val="20"/>
                <w:lang w:eastAsia="zh-CN"/>
              </w:rPr>
              <w:t>达成预期指标。</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服务对象满意度指标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0"/>
                <w:szCs w:val="20"/>
                <w:lang w:eastAsia="zh-CN"/>
              </w:rPr>
            </w:pPr>
            <w:r>
              <w:rPr>
                <w:rFonts w:hint="eastAsia" w:ascii="宋体" w:hAnsi="宋体" w:cs="宋体"/>
                <w:sz w:val="20"/>
                <w:szCs w:val="20"/>
                <w:lang w:eastAsia="zh-CN"/>
              </w:rPr>
              <w:t>社会养老机构满意度高，老年群体十分满意</w:t>
            </w: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 w:val="20"/>
                <w:szCs w:val="20"/>
                <w:lang w:val="en-US" w:eastAsia="zh-CN"/>
              </w:rPr>
            </w:pPr>
            <w:r>
              <w:rPr>
                <w:rFonts w:hint="eastAsia" w:ascii="宋体" w:hAnsi="宋体" w:cs="宋体"/>
                <w:sz w:val="20"/>
                <w:szCs w:val="20"/>
                <w:lang w:val="en-US" w:eastAsia="zh-CN"/>
              </w:rPr>
              <w:t>10</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lang w:val="en-US" w:eastAsia="zh-CN"/>
              </w:rPr>
            </w:pPr>
            <w:r>
              <w:rPr>
                <w:rFonts w:hint="eastAsia" w:ascii="宋体" w:hAnsi="宋体" w:cs="宋体"/>
                <w:sz w:val="20"/>
                <w:szCs w:val="20"/>
                <w:lang w:val="en-US" w:eastAsia="zh-CN"/>
              </w:rPr>
              <w:t>95%以上</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hint="eastAsia"/>
                <w:sz w:val="20"/>
                <w:szCs w:val="20"/>
              </w:rPr>
            </w:pPr>
            <w:r>
              <w:rPr>
                <w:rFonts w:hint="eastAsia"/>
                <w:sz w:val="20"/>
                <w:szCs w:val="20"/>
              </w:rPr>
              <w:t>度指标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0"/>
                <w:szCs w:val="20"/>
                <w:lang w:eastAsia="zh-CN"/>
              </w:rPr>
            </w:pPr>
            <w:r>
              <w:rPr>
                <w:rFonts w:hint="eastAsia" w:ascii="宋体" w:hAnsi="宋体" w:cs="宋体"/>
                <w:sz w:val="20"/>
                <w:szCs w:val="20"/>
                <w:lang w:eastAsia="zh-CN"/>
              </w:rPr>
              <w:t>社会养老机构满意度高，老年群体十分满意</w:t>
            </w:r>
          </w:p>
        </w:tc>
        <w:tc>
          <w:tcPr>
            <w:tcW w:w="62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 w:val="20"/>
                <w:szCs w:val="20"/>
                <w:lang w:val="en-US" w:eastAsia="zh-CN"/>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lang w:val="en-US" w:eastAsia="zh-CN"/>
              </w:rPr>
            </w:pPr>
            <w:r>
              <w:rPr>
                <w:rFonts w:hint="eastAsia" w:ascii="宋体" w:hAnsi="宋体" w:cs="宋体"/>
                <w:sz w:val="20"/>
                <w:szCs w:val="20"/>
                <w:lang w:val="en-US" w:eastAsia="zh-CN"/>
              </w:rPr>
              <w:t>95%以上</w:t>
            </w:r>
          </w:p>
        </w:tc>
      </w:tr>
    </w:tbl>
    <w:p>
      <w:pPr>
        <w:ind w:firstLine="420" w:firstLineChars="200"/>
      </w:pPr>
    </w:p>
    <w:p>
      <w:pPr>
        <w:adjustRightInd w:val="0"/>
        <w:snapToGrid w:val="0"/>
        <w:spacing w:line="600" w:lineRule="exact"/>
        <w:ind w:firstLine="803" w:firstLineChars="250"/>
        <w:rPr>
          <w:rFonts w:ascii="仿宋_GB2312" w:hAnsi="楷体" w:eastAsia="仿宋_GB2312"/>
          <w:b/>
          <w:bCs/>
          <w:sz w:val="32"/>
          <w:szCs w:val="32"/>
        </w:rPr>
      </w:pPr>
      <w:r>
        <w:rPr>
          <w:rFonts w:hint="eastAsia" w:ascii="仿宋_GB2312" w:hAnsi="楷体" w:eastAsia="仿宋_GB2312"/>
          <w:b/>
          <w:bCs/>
          <w:sz w:val="32"/>
          <w:szCs w:val="32"/>
        </w:rPr>
        <w:t>2、“社会事务</w:t>
      </w:r>
      <w:r>
        <w:rPr>
          <w:rFonts w:hint="eastAsia" w:ascii="仿宋_GB2312" w:hAnsi="楷体" w:eastAsia="仿宋_GB2312"/>
          <w:b/>
          <w:bCs/>
          <w:sz w:val="32"/>
          <w:szCs w:val="32"/>
          <w:lang w:eastAsia="zh-CN"/>
        </w:rPr>
        <w:t>体系</w:t>
      </w:r>
      <w:r>
        <w:rPr>
          <w:rFonts w:hint="eastAsia" w:ascii="仿宋_GB2312" w:hAnsi="楷体" w:eastAsia="仿宋_GB2312"/>
          <w:b/>
          <w:bCs/>
          <w:sz w:val="32"/>
          <w:szCs w:val="32"/>
        </w:rPr>
        <w:t>发展建设”项目。</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根据淮北市人民政府办公室印发的淮北市民政局“三定”规定通知要求，社会事务与儿童福利科主要负责儿童福利、留守儿童、未成年人保护等业务主管和流浪乞讨人员救助管理，推进婚俗和殡葬改革，配合做好婚育宣传和妇女儿童保护；负责婚姻、收养登记机关和殡葬单位的管理和业务指导等。</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r>
        <w:rPr>
          <w:rFonts w:hint="eastAsia" w:ascii="仿宋_GB2312" w:hAnsi="楷体" w:eastAsia="仿宋_GB2312"/>
          <w:sz w:val="32"/>
          <w:szCs w:val="32"/>
          <w:lang w:eastAsia="zh-CN"/>
        </w:rPr>
        <w:t>依据</w:t>
      </w:r>
      <w:r>
        <w:rPr>
          <w:rFonts w:hint="eastAsia" w:ascii="仿宋_GB2312" w:hAnsi="楷体" w:eastAsia="仿宋_GB2312"/>
          <w:sz w:val="32"/>
          <w:szCs w:val="32"/>
        </w:rPr>
        <w:t>《殡葬管理条例》“</w:t>
      </w:r>
      <w:r>
        <w:rPr>
          <w:rFonts w:hint="eastAsia" w:ascii="仿宋_GB2312" w:hAnsi="楷体" w:eastAsia="仿宋_GB2312"/>
          <w:sz w:val="32"/>
          <w:szCs w:val="32"/>
          <w:lang w:eastAsia="zh-CN"/>
        </w:rPr>
        <w:t>第五章</w:t>
      </w:r>
      <w:r>
        <w:rPr>
          <w:rFonts w:hint="eastAsia" w:ascii="仿宋_GB2312" w:hAnsi="楷体" w:eastAsia="仿宋_GB2312"/>
          <w:sz w:val="32"/>
          <w:szCs w:val="32"/>
          <w:lang w:val="en-US" w:eastAsia="zh-CN"/>
        </w:rPr>
        <w:t xml:space="preserve"> 罚则 第十九条 墓穴占地面积超过省、自治区、直辖市人民政府规定的标准的，由民政部门责令限期改正，没收违法所得，可以并处违法所得1倍以上3倍以下的罚款。</w:t>
      </w:r>
      <w:r>
        <w:rPr>
          <w:rFonts w:hint="eastAsia" w:ascii="仿宋_GB2312" w:hAnsi="楷体" w:eastAsia="仿宋_GB2312"/>
          <w:sz w:val="32"/>
          <w:szCs w:val="32"/>
        </w:rPr>
        <w:t>”</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eastAsia="zh-CN"/>
        </w:rPr>
        <w:t>依据</w:t>
      </w:r>
      <w:r>
        <w:rPr>
          <w:rFonts w:hint="eastAsia" w:ascii="仿宋_GB2312" w:hAnsi="楷体" w:eastAsia="仿宋_GB2312"/>
          <w:sz w:val="32"/>
          <w:szCs w:val="32"/>
        </w:rPr>
        <w:t>《</w:t>
      </w:r>
      <w:r>
        <w:rPr>
          <w:rFonts w:hint="eastAsia" w:ascii="仿宋_GB2312" w:hAnsi="楷体" w:eastAsia="仿宋_GB2312"/>
          <w:sz w:val="32"/>
          <w:szCs w:val="32"/>
          <w:lang w:eastAsia="zh-CN"/>
        </w:rPr>
        <w:t>安徽省殡葬管理办法</w:t>
      </w:r>
      <w:r>
        <w:rPr>
          <w:rFonts w:hint="eastAsia" w:ascii="仿宋_GB2312" w:hAnsi="楷体" w:eastAsia="仿宋_GB2312"/>
          <w:sz w:val="32"/>
          <w:szCs w:val="32"/>
        </w:rPr>
        <w:t>》“第十九条</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制造、销售封建迷信殡葬用品的，由民政部门会同工商行政管理部门予以没收，可以并处制造、销售金额1倍以上3倍以下的罚款。”</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楷体" w:eastAsia="仿宋_GB2312"/>
          <w:sz w:val="32"/>
          <w:szCs w:val="32"/>
          <w:lang w:eastAsia="zh-CN"/>
        </w:rPr>
        <w:t>市社会事务服务中心</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2024年1月-2026年12月</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（5）项目内容。</w:t>
      </w:r>
      <w:r>
        <w:rPr>
          <w:rFonts w:hint="eastAsia" w:ascii="仿宋_GB2312" w:hAnsi="仿宋" w:eastAsia="仿宋_GB2312"/>
          <w:sz w:val="32"/>
          <w:szCs w:val="32"/>
          <w:lang w:eastAsia="zh-CN"/>
        </w:rPr>
        <w:t>根据国家、省、市相关工作要求，我中心将继续推进婚俗、殡葬领域改革，提升儿童福利领域权益保障水平，加大流浪乞讨救助人员救助服务能力，提升服务关爱水平</w:t>
      </w:r>
      <w:r>
        <w:rPr>
          <w:rFonts w:hint="eastAsia" w:ascii="仿宋_GB2312" w:hAnsi="楷体" w:eastAsia="仿宋_GB2312"/>
          <w:sz w:val="32"/>
          <w:szCs w:val="32"/>
          <w:lang w:eastAsia="zh-CN"/>
        </w:rPr>
        <w:t>。</w:t>
      </w:r>
      <w:r>
        <w:rPr>
          <w:rFonts w:hint="eastAsia" w:ascii="仿宋_GB2312" w:hAnsi="楷体" w:eastAsia="仿宋_GB2312"/>
          <w:sz w:val="32"/>
          <w:szCs w:val="32"/>
          <w:highlight w:val="none"/>
          <w:lang w:eastAsia="zh-CN"/>
        </w:rPr>
        <w:t>购买流浪乞讨救助专用车辆</w:t>
      </w:r>
      <w:r>
        <w:rPr>
          <w:rFonts w:hint="eastAsia" w:ascii="仿宋_GB2312" w:hAnsi="楷体" w:eastAsia="仿宋_GB2312"/>
          <w:sz w:val="32"/>
          <w:szCs w:val="32"/>
          <w:highlight w:val="none"/>
          <w:lang w:val="en-US" w:eastAsia="zh-CN"/>
        </w:rPr>
        <w:t>1台（25万元），加强精神障碍社区康复服务点（新建）（3个，相山区、杜集区、烈山区各1个，每个站点5万元）以及未成年人保护工作站（新建）（3个，相山区、杜集区、烈山区各1个，每个站点5万元）服务能力。</w:t>
      </w:r>
      <w:r>
        <w:rPr>
          <w:rFonts w:hint="eastAsia" w:ascii="仿宋_GB2312" w:hAnsi="仿宋" w:eastAsia="仿宋_GB2312"/>
          <w:sz w:val="32"/>
          <w:szCs w:val="32"/>
          <w:highlight w:val="none"/>
        </w:rPr>
        <w:t>预计202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社会事务发展建设项目</w:t>
      </w:r>
      <w:r>
        <w:rPr>
          <w:rFonts w:hint="eastAsia" w:ascii="仿宋_GB2312" w:hAnsi="仿宋" w:eastAsia="仿宋_GB2312"/>
          <w:sz w:val="32"/>
          <w:szCs w:val="32"/>
          <w:highlight w:val="none"/>
        </w:rPr>
        <w:t>共需费用</w:t>
      </w:r>
      <w:r>
        <w:rPr>
          <w:rFonts w:hint="eastAsia" w:ascii="仿宋_GB2312" w:hAnsi="仿宋" w:eastAsia="仿宋_GB2312"/>
          <w:sz w:val="32"/>
          <w:szCs w:val="32"/>
          <w:highlight w:val="none"/>
          <w:lang w:val="en-US" w:eastAsia="zh-CN"/>
        </w:rPr>
        <w:t>55</w:t>
      </w:r>
      <w:r>
        <w:rPr>
          <w:rFonts w:hint="eastAsia" w:ascii="仿宋_GB2312" w:hAnsi="仿宋" w:eastAsia="仿宋_GB2312"/>
          <w:sz w:val="32"/>
          <w:szCs w:val="32"/>
          <w:highlight w:val="none"/>
        </w:rPr>
        <w:t>万元。</w:t>
      </w:r>
    </w:p>
    <w:p>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eastAsia="zh-CN"/>
        </w:rPr>
        <w:t>按照工作开展情况，支付各项费用。</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10"/>
        <w:tblW w:w="0" w:type="auto"/>
        <w:tblInd w:w="93" w:type="dxa"/>
        <w:tblLayout w:type="fixed"/>
        <w:tblCellMar>
          <w:top w:w="0" w:type="dxa"/>
          <w:left w:w="108" w:type="dxa"/>
          <w:bottom w:w="0" w:type="dxa"/>
          <w:right w:w="108" w:type="dxa"/>
        </w:tblCellMar>
      </w:tblPr>
      <w:tblGrid>
        <w:gridCol w:w="416"/>
        <w:gridCol w:w="691"/>
        <w:gridCol w:w="795"/>
        <w:gridCol w:w="274"/>
        <w:gridCol w:w="600"/>
        <w:gridCol w:w="1230"/>
        <w:gridCol w:w="971"/>
        <w:gridCol w:w="855"/>
        <w:gridCol w:w="795"/>
        <w:gridCol w:w="19"/>
        <w:gridCol w:w="1110"/>
        <w:gridCol w:w="75"/>
        <w:gridCol w:w="1189"/>
      </w:tblGrid>
      <w:tr>
        <w:tblPrEx>
          <w:tblCellMar>
            <w:top w:w="0" w:type="dxa"/>
            <w:left w:w="108" w:type="dxa"/>
            <w:bottom w:w="0" w:type="dxa"/>
            <w:right w:w="108" w:type="dxa"/>
          </w:tblCellMar>
        </w:tblPrEx>
        <w:trPr>
          <w:trHeight w:val="360" w:hRule="atLeast"/>
        </w:trPr>
        <w:tc>
          <w:tcPr>
            <w:tcW w:w="9020" w:type="dxa"/>
            <w:gridSpan w:val="13"/>
            <w:tcBorders>
              <w:top w:val="nil"/>
              <w:left w:val="nil"/>
              <w:bottom w:val="nil"/>
              <w:right w:val="nil"/>
            </w:tcBorders>
            <w:noWrap w:val="0"/>
            <w:vAlign w:val="center"/>
          </w:tcPr>
          <w:p>
            <w:pPr>
              <w:rPr>
                <w:b/>
                <w:bCs/>
                <w:sz w:val="32"/>
                <w:szCs w:val="32"/>
              </w:rPr>
            </w:pPr>
          </w:p>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3"/>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trPr>
          <w:trHeight w:val="330" w:hRule="atLeast"/>
        </w:trPr>
        <w:tc>
          <w:tcPr>
            <w:tcW w:w="217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6844" w:type="dxa"/>
            <w:gridSpan w:val="9"/>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color w:val="000000"/>
                <w:sz w:val="20"/>
                <w:szCs w:val="20"/>
                <w:lang w:eastAsia="zh-CN"/>
              </w:rPr>
              <w:t>社会事务体系发展建设项目</w:t>
            </w:r>
            <w:r>
              <w:rPr>
                <w:rFonts w:hint="eastAsia"/>
                <w:color w:val="000000"/>
                <w:sz w:val="20"/>
                <w:szCs w:val="20"/>
              </w:rPr>
              <w:t>　</w:t>
            </w:r>
          </w:p>
        </w:tc>
      </w:tr>
      <w:tr>
        <w:trPr>
          <w:trHeight w:val="330" w:hRule="atLeast"/>
        </w:trPr>
        <w:tc>
          <w:tcPr>
            <w:tcW w:w="217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6844" w:type="dxa"/>
            <w:gridSpan w:val="9"/>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lang w:eastAsia="zh-CN"/>
              </w:rPr>
              <w:t>市社会事务服务中心</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217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6844" w:type="dxa"/>
            <w:gridSpan w:val="9"/>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2176"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83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971"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lang w:val="en-US" w:eastAsia="zh-CN"/>
              </w:rPr>
              <w:t>165</w:t>
            </w:r>
          </w:p>
        </w:tc>
        <w:tc>
          <w:tcPr>
            <w:tcW w:w="2779" w:type="dxa"/>
            <w:gridSpan w:val="4"/>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lang w:val="en-US"/>
              </w:rPr>
            </w:pPr>
            <w:r>
              <w:rPr>
                <w:rFonts w:hint="eastAsia"/>
                <w:sz w:val="20"/>
                <w:szCs w:val="20"/>
                <w:lang w:val="en-US" w:eastAsia="zh-CN"/>
              </w:rPr>
              <w:t>55</w:t>
            </w:r>
          </w:p>
        </w:tc>
      </w:tr>
      <w:tr>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183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97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165</w:t>
            </w:r>
          </w:p>
        </w:tc>
        <w:tc>
          <w:tcPr>
            <w:tcW w:w="2779" w:type="dxa"/>
            <w:gridSpan w:val="4"/>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55</w:t>
            </w:r>
          </w:p>
        </w:tc>
      </w:tr>
      <w:tr>
        <w:trPr>
          <w:trHeight w:val="330" w:hRule="atLeast"/>
        </w:trPr>
        <w:tc>
          <w:tcPr>
            <w:tcW w:w="2176"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183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971" w:type="dxa"/>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c>
          <w:tcPr>
            <w:tcW w:w="2779" w:type="dxa"/>
            <w:gridSpan w:val="4"/>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561" w:type="dxa"/>
            <w:gridSpan w:val="6"/>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w:t>
            </w:r>
            <w:r>
              <w:rPr>
                <w:rFonts w:hint="eastAsia"/>
                <w:sz w:val="20"/>
                <w:szCs w:val="20"/>
                <w:lang w:val="en-US" w:eastAsia="zh-CN"/>
              </w:rPr>
              <w:t>24</w:t>
            </w:r>
            <w:r>
              <w:rPr>
                <w:rFonts w:hint="eastAsia"/>
                <w:sz w:val="20"/>
                <w:szCs w:val="20"/>
              </w:rPr>
              <w:t>年—20</w:t>
            </w:r>
            <w:r>
              <w:rPr>
                <w:rFonts w:hint="eastAsia"/>
                <w:sz w:val="20"/>
                <w:szCs w:val="20"/>
                <w:lang w:val="en-US" w:eastAsia="zh-CN"/>
              </w:rPr>
              <w:t>26</w:t>
            </w:r>
            <w:r>
              <w:rPr>
                <w:rFonts w:hint="eastAsia"/>
                <w:sz w:val="20"/>
                <w:szCs w:val="20"/>
              </w:rPr>
              <w:t>年）</w:t>
            </w:r>
          </w:p>
        </w:tc>
        <w:tc>
          <w:tcPr>
            <w:tcW w:w="4043" w:type="dxa"/>
            <w:gridSpan w:val="6"/>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4561" w:type="dxa"/>
            <w:gridSpan w:val="6"/>
            <w:tcBorders>
              <w:top w:val="single" w:color="auto" w:sz="4" w:space="0"/>
              <w:left w:val="nil"/>
              <w:bottom w:val="single" w:color="auto" w:sz="4" w:space="0"/>
              <w:right w:val="nil"/>
            </w:tcBorders>
            <w:noWrap w:val="0"/>
            <w:vAlign w:val="top"/>
          </w:tcPr>
          <w:p>
            <w:pPr>
              <w:rPr>
                <w:rFonts w:ascii="宋体" w:hAnsi="宋体" w:cs="宋体"/>
                <w:sz w:val="20"/>
                <w:szCs w:val="20"/>
              </w:rPr>
            </w:pPr>
            <w:r>
              <w:rPr>
                <w:rFonts w:hint="eastAsia"/>
                <w:sz w:val="20"/>
                <w:szCs w:val="20"/>
              </w:rPr>
              <w:t xml:space="preserve"> 目标1</w:t>
            </w:r>
            <w:r>
              <w:rPr>
                <w:rFonts w:hint="eastAsia"/>
                <w:sz w:val="20"/>
                <w:szCs w:val="20"/>
                <w:lang w:eastAsia="zh-CN"/>
              </w:rPr>
              <w:t>：推进婚俗、殡葬领域改革，提高殡葬服务水平，提升群众满意度。提升儿童福利领域权益保障水平，加快未成年人保护工作站建设，进一步提升未成年人保护能力，提升服务关爱水平。</w:t>
            </w:r>
          </w:p>
        </w:tc>
        <w:tc>
          <w:tcPr>
            <w:tcW w:w="4043" w:type="dxa"/>
            <w:gridSpan w:val="6"/>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sz w:val="20"/>
                <w:szCs w:val="20"/>
              </w:rPr>
              <w:t xml:space="preserve"> 目标1：</w:t>
            </w:r>
            <w:r>
              <w:rPr>
                <w:rFonts w:hint="eastAsia"/>
                <w:sz w:val="20"/>
                <w:szCs w:val="20"/>
                <w:lang w:eastAsia="zh-CN"/>
              </w:rPr>
              <w:t>推进婚俗、殡葬领域改革，提高殡葬服务水平，提升群众满意度。提升儿童福利领域权益保障水平，加快未成年人保护工作站建设，进一步提升未成年人保护能力，提升服务关爱水平。</w:t>
            </w:r>
          </w:p>
        </w:tc>
      </w:tr>
      <w:tr>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691"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795"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874"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123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97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55"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795"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1204" w:type="dxa"/>
            <w:gridSpan w:val="3"/>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11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79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87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val="en-US" w:eastAsia="zh-CN"/>
              </w:rPr>
            </w:pPr>
            <w:r>
              <w:rPr>
                <w:rFonts w:hint="eastAsia"/>
                <w:sz w:val="20"/>
                <w:szCs w:val="20"/>
                <w:lang w:eastAsia="zh-CN"/>
              </w:rPr>
              <w:t>推进婚丧改革、加快未保站、社区康复站点建设</w:t>
            </w:r>
          </w:p>
        </w:tc>
        <w:tc>
          <w:tcPr>
            <w:tcW w:w="971"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val="en-US" w:eastAsia="zh-CN"/>
              </w:rPr>
            </w:pPr>
            <w:r>
              <w:rPr>
                <w:rFonts w:hint="eastAsia"/>
                <w:sz w:val="20"/>
                <w:szCs w:val="20"/>
              </w:rPr>
              <w:t>以实际服务人数为准</w:t>
            </w:r>
          </w:p>
        </w:tc>
        <w:tc>
          <w:tcPr>
            <w:tcW w:w="85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7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04" w:type="dxa"/>
            <w:gridSpan w:val="3"/>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val="en-US" w:eastAsia="zh-CN"/>
              </w:rPr>
            </w:pPr>
            <w:r>
              <w:rPr>
                <w:rFonts w:hint="eastAsia"/>
                <w:sz w:val="20"/>
                <w:szCs w:val="20"/>
                <w:lang w:eastAsia="zh-CN"/>
              </w:rPr>
              <w:t>推进婚丧改革、加快未保站、社区康复站点建设</w:t>
            </w:r>
          </w:p>
        </w:tc>
        <w:tc>
          <w:tcPr>
            <w:tcW w:w="1189"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val="en-US" w:eastAsia="zh-CN"/>
              </w:rPr>
            </w:pPr>
            <w:r>
              <w:rPr>
                <w:rFonts w:hint="eastAsia"/>
                <w:sz w:val="20"/>
                <w:szCs w:val="20"/>
              </w:rPr>
              <w:t>以实际服务人数为准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91" w:type="dxa"/>
            <w:tcBorders>
              <w:top w:val="single" w:color="auto" w:sz="4" w:space="0"/>
              <w:left w:val="single" w:color="auto" w:sz="4" w:space="0"/>
              <w:right w:val="single" w:color="auto" w:sz="4" w:space="0"/>
            </w:tcBorders>
            <w:noWrap w:val="0"/>
            <w:vAlign w:val="center"/>
          </w:tcPr>
          <w:p>
            <w:pPr>
              <w:rPr>
                <w:rFonts w:ascii="宋体" w:hAnsi="宋体" w:cs="宋体"/>
                <w:sz w:val="20"/>
                <w:szCs w:val="20"/>
              </w:rPr>
            </w:pPr>
          </w:p>
        </w:tc>
        <w:tc>
          <w:tcPr>
            <w:tcW w:w="79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87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宣传、培训</w:t>
            </w:r>
            <w:r>
              <w:rPr>
                <w:rFonts w:hint="eastAsia"/>
                <w:sz w:val="20"/>
                <w:szCs w:val="20"/>
                <w:lang w:eastAsia="zh-CN"/>
              </w:rPr>
              <w:t>、关爱服务</w:t>
            </w:r>
            <w:r>
              <w:rPr>
                <w:rFonts w:hint="eastAsia"/>
                <w:sz w:val="20"/>
                <w:szCs w:val="20"/>
              </w:rPr>
              <w:t>效果显著</w:t>
            </w:r>
          </w:p>
        </w:tc>
        <w:tc>
          <w:tcPr>
            <w:tcW w:w="97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服务能力有所提升</w:t>
            </w:r>
          </w:p>
        </w:tc>
        <w:tc>
          <w:tcPr>
            <w:tcW w:w="85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81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18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宣传、培训</w:t>
            </w:r>
            <w:r>
              <w:rPr>
                <w:rFonts w:hint="eastAsia"/>
                <w:sz w:val="20"/>
                <w:szCs w:val="20"/>
                <w:lang w:eastAsia="zh-CN"/>
              </w:rPr>
              <w:t>、关爱服务</w:t>
            </w:r>
            <w:r>
              <w:rPr>
                <w:rFonts w:hint="eastAsia"/>
                <w:sz w:val="20"/>
                <w:szCs w:val="20"/>
              </w:rPr>
              <w:t>效果显著</w:t>
            </w:r>
          </w:p>
        </w:tc>
        <w:tc>
          <w:tcPr>
            <w:tcW w:w="1189"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rPr>
              <w:t>服务能力有所提升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91" w:type="dxa"/>
            <w:vMerge w:val="restart"/>
            <w:tcBorders>
              <w:top w:val="single" w:color="auto" w:sz="4" w:space="0"/>
              <w:left w:val="single" w:color="auto" w:sz="4" w:space="0"/>
              <w:right w:val="single" w:color="auto" w:sz="4" w:space="0"/>
            </w:tcBorders>
            <w:noWrap w:val="0"/>
            <w:vAlign w:val="center"/>
          </w:tcPr>
          <w:p>
            <w:pPr>
              <w:rPr>
                <w:rFonts w:ascii="宋体" w:hAnsi="宋体" w:cs="宋体"/>
                <w:sz w:val="20"/>
                <w:szCs w:val="20"/>
              </w:rPr>
            </w:pPr>
          </w:p>
        </w:tc>
        <w:tc>
          <w:tcPr>
            <w:tcW w:w="79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87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为有需要的</w:t>
            </w:r>
            <w:r>
              <w:rPr>
                <w:rFonts w:hint="eastAsia"/>
                <w:sz w:val="20"/>
                <w:szCs w:val="20"/>
                <w:lang w:eastAsia="zh-CN"/>
              </w:rPr>
              <w:t>弱势群体</w:t>
            </w:r>
            <w:r>
              <w:rPr>
                <w:rFonts w:hint="eastAsia"/>
                <w:sz w:val="20"/>
                <w:szCs w:val="20"/>
              </w:rPr>
              <w:t>开展心理辅导、精神慰藉等专业服务</w:t>
            </w:r>
          </w:p>
        </w:tc>
        <w:tc>
          <w:tcPr>
            <w:tcW w:w="97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按时间节点完成各项工作</w:t>
            </w:r>
          </w:p>
        </w:tc>
        <w:tc>
          <w:tcPr>
            <w:tcW w:w="85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81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185"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rPr>
              <w:t>　为有需要的</w:t>
            </w:r>
            <w:r>
              <w:rPr>
                <w:rFonts w:hint="eastAsia"/>
                <w:sz w:val="20"/>
                <w:szCs w:val="20"/>
                <w:lang w:eastAsia="zh-CN"/>
              </w:rPr>
              <w:t>弱势群体</w:t>
            </w:r>
            <w:r>
              <w:rPr>
                <w:rFonts w:hint="eastAsia"/>
                <w:sz w:val="20"/>
                <w:szCs w:val="20"/>
              </w:rPr>
              <w:t>开展心理辅导、精神慰藉等专业服务</w:t>
            </w:r>
          </w:p>
        </w:tc>
        <w:tc>
          <w:tcPr>
            <w:tcW w:w="118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按时间节点完成各项工作</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9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9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87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控制经费</w:t>
            </w:r>
          </w:p>
        </w:tc>
        <w:tc>
          <w:tcPr>
            <w:tcW w:w="97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成本范围内完成奖补工作</w:t>
            </w:r>
          </w:p>
        </w:tc>
        <w:tc>
          <w:tcPr>
            <w:tcW w:w="85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81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18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控制经费</w:t>
            </w:r>
          </w:p>
        </w:tc>
        <w:tc>
          <w:tcPr>
            <w:tcW w:w="118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成本范围内完成奖补工作</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9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95"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87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rPr>
              <w:t>服务体系不断完善</w:t>
            </w:r>
          </w:p>
        </w:tc>
        <w:tc>
          <w:tcPr>
            <w:tcW w:w="97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sz w:val="20"/>
                <w:szCs w:val="20"/>
                <w:lang w:eastAsia="zh-CN"/>
              </w:rPr>
              <w:t>弱势群体</w:t>
            </w:r>
            <w:r>
              <w:rPr>
                <w:rFonts w:hint="eastAsia"/>
                <w:sz w:val="20"/>
                <w:szCs w:val="20"/>
              </w:rPr>
              <w:t>服务</w:t>
            </w:r>
            <w:r>
              <w:rPr>
                <w:rFonts w:hint="eastAsia"/>
                <w:sz w:val="20"/>
                <w:szCs w:val="20"/>
                <w:lang w:eastAsia="zh-CN"/>
              </w:rPr>
              <w:t>保障</w:t>
            </w:r>
            <w:r>
              <w:rPr>
                <w:rFonts w:hint="eastAsia"/>
                <w:sz w:val="20"/>
                <w:szCs w:val="20"/>
              </w:rPr>
              <w:t>机制和服务体系建设完善　</w:t>
            </w:r>
          </w:p>
        </w:tc>
        <w:tc>
          <w:tcPr>
            <w:tcW w:w="85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81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18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服务体系不断完善</w:t>
            </w:r>
          </w:p>
        </w:tc>
        <w:tc>
          <w:tcPr>
            <w:tcW w:w="118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sz w:val="20"/>
                <w:szCs w:val="20"/>
                <w:lang w:eastAsia="zh-CN"/>
              </w:rPr>
              <w:t>弱势群体</w:t>
            </w:r>
            <w:r>
              <w:rPr>
                <w:rFonts w:hint="eastAsia"/>
                <w:sz w:val="20"/>
                <w:szCs w:val="20"/>
              </w:rPr>
              <w:t>服务</w:t>
            </w:r>
            <w:r>
              <w:rPr>
                <w:rFonts w:hint="eastAsia"/>
                <w:sz w:val="20"/>
                <w:szCs w:val="20"/>
                <w:lang w:eastAsia="zh-CN"/>
              </w:rPr>
              <w:t>保障</w:t>
            </w:r>
            <w:r>
              <w:rPr>
                <w:rFonts w:hint="eastAsia"/>
                <w:sz w:val="20"/>
                <w:szCs w:val="20"/>
              </w:rPr>
              <w:t>机制和服务体系建设完善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91"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795"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87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工作开展有序推进　</w:t>
            </w:r>
          </w:p>
        </w:tc>
        <w:tc>
          <w:tcPr>
            <w:tcW w:w="97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持续为</w:t>
            </w:r>
            <w:r>
              <w:rPr>
                <w:rFonts w:hint="eastAsia"/>
                <w:sz w:val="20"/>
                <w:szCs w:val="20"/>
                <w:lang w:eastAsia="zh-CN"/>
              </w:rPr>
              <w:t>弱势群体</w:t>
            </w:r>
            <w:r>
              <w:rPr>
                <w:rFonts w:hint="eastAsia"/>
                <w:sz w:val="20"/>
                <w:szCs w:val="20"/>
              </w:rPr>
              <w:t>提供服务　</w:t>
            </w:r>
          </w:p>
        </w:tc>
        <w:tc>
          <w:tcPr>
            <w:tcW w:w="85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81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18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工作开展有序推进　</w:t>
            </w:r>
          </w:p>
        </w:tc>
        <w:tc>
          <w:tcPr>
            <w:tcW w:w="118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持续为</w:t>
            </w:r>
            <w:r>
              <w:rPr>
                <w:rFonts w:hint="eastAsia"/>
                <w:sz w:val="20"/>
                <w:szCs w:val="20"/>
                <w:lang w:eastAsia="zh-CN"/>
              </w:rPr>
              <w:t>弱势群体</w:t>
            </w:r>
            <w:r>
              <w:rPr>
                <w:rFonts w:hint="eastAsia"/>
                <w:sz w:val="20"/>
                <w:szCs w:val="20"/>
              </w:rPr>
              <w:t>提供服务　</w:t>
            </w:r>
          </w:p>
        </w:tc>
      </w:tr>
      <w:tr>
        <w:tblPrEx>
          <w:tblCellMar>
            <w:top w:w="0" w:type="dxa"/>
            <w:left w:w="108" w:type="dxa"/>
            <w:bottom w:w="0" w:type="dxa"/>
            <w:right w:w="108" w:type="dxa"/>
          </w:tblCellMar>
        </w:tblPrEx>
        <w:trPr>
          <w:trHeight w:val="1203"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91"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795"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87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群众满意度</w:t>
            </w:r>
          </w:p>
        </w:tc>
        <w:tc>
          <w:tcPr>
            <w:tcW w:w="97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满意度≥80%</w:t>
            </w:r>
          </w:p>
        </w:tc>
        <w:tc>
          <w:tcPr>
            <w:tcW w:w="85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814"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18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群众满意度</w:t>
            </w:r>
          </w:p>
        </w:tc>
        <w:tc>
          <w:tcPr>
            <w:tcW w:w="118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满意度≥80%</w:t>
            </w:r>
          </w:p>
        </w:tc>
      </w:tr>
    </w:tbl>
    <w:tbl>
      <w:tblPr>
        <w:tblStyle w:val="10"/>
        <w:tblpPr w:leftFromText="180" w:rightFromText="180" w:vertAnchor="text" w:horzAnchor="margin" w:tblpX="484" w:tblpY="610"/>
        <w:tblOverlap w:val="never"/>
        <w:tblW w:w="9229" w:type="dxa"/>
        <w:tblInd w:w="0" w:type="dxa"/>
        <w:tblLayout w:type="fixed"/>
        <w:tblCellMar>
          <w:top w:w="0" w:type="dxa"/>
          <w:left w:w="108" w:type="dxa"/>
          <w:bottom w:w="0" w:type="dxa"/>
          <w:right w:w="108" w:type="dxa"/>
        </w:tblCellMar>
      </w:tblPr>
      <w:tblGrid>
        <w:gridCol w:w="416"/>
        <w:gridCol w:w="820"/>
        <w:gridCol w:w="940"/>
        <w:gridCol w:w="2000"/>
        <w:gridCol w:w="860"/>
        <w:gridCol w:w="791"/>
        <w:gridCol w:w="889"/>
        <w:gridCol w:w="812"/>
        <w:gridCol w:w="228"/>
        <w:gridCol w:w="764"/>
        <w:gridCol w:w="709"/>
      </w:tblGrid>
      <w:tr>
        <w:tblPrEx>
          <w:tblCellMar>
            <w:top w:w="0" w:type="dxa"/>
            <w:left w:w="108" w:type="dxa"/>
            <w:bottom w:w="0" w:type="dxa"/>
            <w:right w:w="108" w:type="dxa"/>
          </w:tblCellMar>
        </w:tblPrEx>
        <w:trPr>
          <w:trHeight w:val="360" w:hRule="atLeast"/>
        </w:trPr>
        <w:tc>
          <w:tcPr>
            <w:tcW w:w="9229" w:type="dxa"/>
            <w:gridSpan w:val="11"/>
            <w:tcBorders>
              <w:top w:val="nil"/>
              <w:left w:val="nil"/>
              <w:bottom w:val="nil"/>
              <w:right w:val="nil"/>
            </w:tcBorders>
            <w:noWrap w:val="0"/>
            <w:vAlign w:val="center"/>
          </w:tcPr>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3.</w:t>
            </w:r>
            <w:r>
              <w:rPr>
                <w:rFonts w:hint="eastAsia" w:ascii="仿宋_GB2312" w:hAnsi="楷体" w:eastAsia="仿宋_GB2312"/>
                <w:b/>
                <w:sz w:val="32"/>
                <w:szCs w:val="32"/>
              </w:rPr>
              <w:t>“慈善救助工作经费”项目。</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eastAsia="仿宋_GB2312"/>
                <w:bCs/>
                <w:sz w:val="32"/>
                <w:szCs w:val="32"/>
              </w:rPr>
              <w:t>根据《安徽省人民政府关于促进慈善事业健康发展的实施意见》（皖政【2015】39号）要求，开展慈善助困、助学、助孤、助残、助老、赈灾等多方面的慈善救助。</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（2）立项依据。</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eastAsia="仿宋_GB2312"/>
                <w:bCs/>
                <w:sz w:val="32"/>
                <w:szCs w:val="32"/>
              </w:rPr>
              <w:t>《淮北市人民政府关于加快推进慈善事业发展的意见》《淮北市慈善协会章程</w:t>
            </w:r>
            <w:r>
              <w:rPr>
                <w:rFonts w:hint="eastAsia" w:ascii="仿宋_GB2312" w:eastAsia="仿宋_GB2312"/>
                <w:bCs/>
                <w:sz w:val="32"/>
                <w:szCs w:val="32"/>
                <w:lang w:eastAsia="zh-CN"/>
              </w:rPr>
              <w:t>》《</w:t>
            </w:r>
            <w:r>
              <w:rPr>
                <w:rFonts w:hint="eastAsia" w:ascii="仿宋_GB2312" w:eastAsia="仿宋_GB2312"/>
                <w:bCs/>
                <w:sz w:val="32"/>
                <w:szCs w:val="32"/>
              </w:rPr>
              <w:t>淮北市慈善协会资助款物管理及会费收取办法》。</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eastAsia="仿宋_GB2312"/>
                <w:bCs/>
                <w:sz w:val="32"/>
                <w:szCs w:val="32"/>
              </w:rPr>
              <w:t>慈善救助是我市救助体系的重要组成部分，可以有效</w:t>
            </w:r>
            <w:r>
              <w:rPr>
                <w:rFonts w:hint="eastAsia" w:ascii="仿宋_GB2312" w:eastAsia="仿宋_GB2312"/>
                <w:bCs/>
                <w:sz w:val="32"/>
                <w:szCs w:val="32"/>
                <w:lang w:eastAsia="zh-CN"/>
              </w:rPr>
              <w:t>地</w:t>
            </w:r>
            <w:r>
              <w:rPr>
                <w:rFonts w:hint="eastAsia" w:ascii="仿宋_GB2312" w:eastAsia="仿宋_GB2312"/>
                <w:bCs/>
                <w:sz w:val="32"/>
                <w:szCs w:val="32"/>
              </w:rPr>
              <w:t>救助困难群众，促进社会和谐稳定发展。</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（4）起止时间。</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eastAsia="仿宋_GB2312"/>
                <w:bCs/>
                <w:sz w:val="32"/>
                <w:szCs w:val="32"/>
              </w:rPr>
              <w:t>2024年1月-2024年12月</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（5）项目内容。</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eastAsia="仿宋_GB2312"/>
                <w:bCs/>
                <w:sz w:val="32"/>
                <w:szCs w:val="32"/>
              </w:rPr>
              <w:t>开展慈善助困、助学、助孤、助残、助老、赈灾等多方面的慈善救助。</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eastAsia="仿宋_GB2312"/>
                <w:bCs/>
                <w:sz w:val="32"/>
                <w:szCs w:val="32"/>
              </w:rPr>
              <w:t>1.</w:t>
            </w:r>
            <w:r>
              <w:rPr>
                <w:rFonts w:hint="eastAsia" w:ascii="仿宋_GB2312" w:eastAsia="仿宋_GB2312"/>
                <w:color w:val="000000"/>
                <w:sz w:val="32"/>
                <w:szCs w:val="32"/>
              </w:rPr>
              <w:t>宣传费预算支出4万；2.印刷费预算支出0.7万；3.报刊费预算支出0.15万；4.人员工资预算支出1.92万；5.差旅费预算支出1.5万；6.水电费预算支出0.3万；7.电话及网络费预算支出0.3万、8.办公费预算支出 2.13万。总合计11万元</w:t>
            </w:r>
          </w:p>
          <w:p>
            <w:pPr>
              <w:adjustRightInd w:val="0"/>
              <w:snapToGrid w:val="0"/>
              <w:spacing w:line="600" w:lineRule="exact"/>
              <w:ind w:firstLine="640" w:firstLineChars="200"/>
              <w:rPr>
                <w:b/>
                <w:bCs/>
                <w:sz w:val="32"/>
                <w:szCs w:val="32"/>
              </w:rPr>
            </w:pPr>
            <w:r>
              <w:rPr>
                <w:rFonts w:hint="eastAsia" w:ascii="仿宋_GB2312" w:hAnsi="楷体" w:eastAsia="仿宋_GB2312"/>
                <w:sz w:val="32"/>
                <w:szCs w:val="32"/>
              </w:rPr>
              <w:t>（7）绩效目标。</w:t>
            </w:r>
          </w:p>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229" w:type="dxa"/>
            <w:gridSpan w:val="11"/>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993" w:type="dxa"/>
            <w:gridSpan w:val="9"/>
            <w:tcBorders>
              <w:top w:val="single" w:color="auto" w:sz="4" w:space="0"/>
              <w:left w:val="nil"/>
              <w:bottom w:val="single" w:color="auto" w:sz="4" w:space="0"/>
              <w:right w:val="single" w:color="000000" w:sz="4" w:space="0"/>
            </w:tcBorders>
            <w:noWrap w:val="0"/>
            <w:vAlign w:val="center"/>
          </w:tcPr>
          <w:p>
            <w:pPr>
              <w:rPr>
                <w:rFonts w:ascii="宋体" w:hAnsi="宋体" w:cs="宋体"/>
                <w:color w:val="000000"/>
                <w:sz w:val="20"/>
                <w:szCs w:val="20"/>
              </w:rPr>
            </w:pPr>
            <w:r>
              <w:rPr>
                <w:rFonts w:hint="eastAsia"/>
                <w:color w:val="000000"/>
                <w:sz w:val="20"/>
                <w:szCs w:val="20"/>
              </w:rPr>
              <w:t>慈善救助工作经费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993" w:type="dxa"/>
            <w:gridSpan w:val="9"/>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color w:val="000000"/>
                <w:sz w:val="20"/>
                <w:szCs w:val="20"/>
              </w:rPr>
              <w:t>淮北市慈善协会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993" w:type="dxa"/>
            <w:gridSpan w:val="9"/>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color w:val="000000"/>
                <w:sz w:val="20"/>
                <w:szCs w:val="20"/>
              </w:rPr>
              <w:t>　延续项目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473"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11万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473"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473"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中期目标（2024年1月—2024年12月）</w:t>
            </w:r>
          </w:p>
        </w:tc>
        <w:tc>
          <w:tcPr>
            <w:tcW w:w="3402" w:type="dxa"/>
            <w:gridSpan w:val="5"/>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rPr>
                <w:sz w:val="20"/>
                <w:szCs w:val="20"/>
              </w:rPr>
            </w:pPr>
            <w:r>
              <w:rPr>
                <w:rFonts w:hint="eastAsia"/>
                <w:sz w:val="20"/>
                <w:szCs w:val="20"/>
              </w:rPr>
              <w:t xml:space="preserve"> </w:t>
            </w:r>
          </w:p>
          <w:p>
            <w:pPr>
              <w:rPr>
                <w:rFonts w:ascii="宋体" w:hAnsi="宋体" w:cs="宋体"/>
                <w:color w:val="000000"/>
                <w:sz w:val="20"/>
                <w:szCs w:val="20"/>
              </w:rPr>
            </w:pPr>
            <w:r>
              <w:rPr>
                <w:rFonts w:hint="eastAsia"/>
                <w:color w:val="000000"/>
                <w:sz w:val="20"/>
                <w:szCs w:val="20"/>
              </w:rPr>
              <w:t>目标1： 1</w:t>
            </w:r>
            <w:r>
              <w:rPr>
                <w:rFonts w:hint="eastAsia"/>
                <w:color w:val="000000"/>
                <w:sz w:val="20"/>
                <w:szCs w:val="20"/>
                <w:lang w:eastAsia="zh-CN"/>
              </w:rPr>
              <w:t>.</w:t>
            </w:r>
            <w:r>
              <w:rPr>
                <w:rFonts w:hint="eastAsia"/>
                <w:color w:val="000000"/>
                <w:sz w:val="20"/>
                <w:szCs w:val="20"/>
              </w:rPr>
              <w:t>电话及网络费3000元；2.水电费3000元；3.宣传费36300元、4.印刷费8000元；5.办公费20000元；6.工作人员活动费19200元；7.差旅费15000元；报刊征订费1500元；折旧费4000元合计：11万元。市慈善协会开展救助工作办公运行经费，不得动用社会捐助的善款</w:t>
            </w:r>
            <w:r>
              <w:rPr>
                <w:rFonts w:hint="eastAsia"/>
                <w:color w:val="000000"/>
                <w:sz w:val="20"/>
                <w:szCs w:val="20"/>
              </w:rPr>
              <w:br w:type="textWrapping"/>
            </w:r>
            <w:r>
              <w:rPr>
                <w:rFonts w:hint="eastAsia"/>
                <w:color w:val="000000"/>
                <w:sz w:val="20"/>
                <w:szCs w:val="20"/>
              </w:rPr>
              <w:t xml:space="preserve"> </w:t>
            </w:r>
            <w:r>
              <w:rPr>
                <w:rFonts w:hint="eastAsia"/>
                <w:color w:val="000000"/>
                <w:sz w:val="20"/>
                <w:szCs w:val="20"/>
              </w:rPr>
              <w:br w:type="textWrapping"/>
            </w:r>
            <w:r>
              <w:rPr>
                <w:rFonts w:hint="eastAsia"/>
                <w:color w:val="000000"/>
                <w:sz w:val="20"/>
                <w:szCs w:val="20"/>
              </w:rPr>
              <w:t xml:space="preserve">  </w:t>
            </w:r>
          </w:p>
          <w:p>
            <w:pPr>
              <w:rPr>
                <w:rFonts w:ascii="宋体" w:hAnsi="宋体" w:cs="宋体"/>
                <w:sz w:val="20"/>
                <w:szCs w:val="20"/>
              </w:rPr>
            </w:pPr>
            <w:r>
              <w:rPr>
                <w:rFonts w:hint="eastAsia"/>
                <w:sz w:val="20"/>
                <w:szCs w:val="20"/>
              </w:rPr>
              <w:br w:type="textWrapping"/>
            </w:r>
            <w:r>
              <w:rPr>
                <w:rFonts w:hint="eastAsia"/>
                <w:sz w:val="20"/>
                <w:szCs w:val="20"/>
              </w:rPr>
              <w:t xml:space="preserve"> </w:t>
            </w:r>
          </w:p>
        </w:tc>
        <w:tc>
          <w:tcPr>
            <w:tcW w:w="3402" w:type="dxa"/>
            <w:gridSpan w:val="5"/>
            <w:tcBorders>
              <w:top w:val="single" w:color="auto" w:sz="4" w:space="0"/>
              <w:left w:val="single" w:color="auto" w:sz="4" w:space="0"/>
              <w:bottom w:val="single" w:color="auto" w:sz="4" w:space="0"/>
              <w:right w:val="single" w:color="000000" w:sz="4" w:space="0"/>
            </w:tcBorders>
            <w:noWrap w:val="0"/>
            <w:vAlign w:val="top"/>
          </w:tcPr>
          <w:p>
            <w:pPr>
              <w:rPr>
                <w:sz w:val="20"/>
                <w:szCs w:val="20"/>
              </w:rPr>
            </w:pPr>
            <w:r>
              <w:rPr>
                <w:rFonts w:hint="eastAsia"/>
                <w:sz w:val="20"/>
                <w:szCs w:val="20"/>
              </w:rPr>
              <w:t xml:space="preserve"> 目标1：财务管理工作按照“勤俭办事”的原则，勤俭节约，精打细算，制止铺张浪费和一切不必要的开支。</w:t>
            </w:r>
          </w:p>
          <w:p>
            <w:pPr>
              <w:rPr>
                <w:rFonts w:ascii="宋体" w:hAnsi="宋体" w:cs="宋体"/>
                <w:sz w:val="20"/>
                <w:szCs w:val="20"/>
              </w:rPr>
            </w:pPr>
            <w:r>
              <w:rPr>
                <w:rFonts w:hint="eastAsia"/>
                <w:sz w:val="20"/>
                <w:szCs w:val="20"/>
              </w:rPr>
              <w:t xml:space="preserve"> </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992"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0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指标1：办公费、水电费、差旅费、</w:t>
            </w:r>
            <w:r>
              <w:rPr>
                <w:rFonts w:hint="eastAsia"/>
                <w:sz w:val="20"/>
                <w:szCs w:val="20"/>
                <w:lang w:eastAsia="zh-CN"/>
              </w:rPr>
              <w:t>购买</w:t>
            </w:r>
            <w:r>
              <w:rPr>
                <w:rFonts w:hint="eastAsia"/>
                <w:sz w:val="20"/>
                <w:szCs w:val="20"/>
              </w:rPr>
              <w:t xml:space="preserve">电脑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p>
            <w:pPr>
              <w:rPr>
                <w:rFonts w:ascii="宋体" w:hAnsi="宋体" w:cs="宋体"/>
                <w:color w:val="000000"/>
                <w:sz w:val="20"/>
                <w:szCs w:val="20"/>
              </w:rPr>
            </w:pPr>
            <w:r>
              <w:rPr>
                <w:rFonts w:hint="eastAsia" w:ascii="宋体" w:hAnsi="宋体" w:cs="宋体"/>
                <w:color w:val="000000"/>
                <w:sz w:val="20"/>
                <w:szCs w:val="20"/>
              </w:rPr>
              <w:t>打印纸、碳粉电脑、参加省会议</w:t>
            </w:r>
          </w:p>
          <w:p>
            <w:pPr>
              <w:rPr>
                <w:rFonts w:ascii="宋体" w:hAnsi="宋体" w:cs="宋体"/>
                <w:sz w:val="20"/>
                <w:szCs w:val="20"/>
              </w:rPr>
            </w:pP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100%</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巩固提升品牌项目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宣传费</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sz w:val="20"/>
                <w:szCs w:val="20"/>
              </w:rPr>
              <w:t>　</w:t>
            </w:r>
            <w:r>
              <w:rPr>
                <w:rFonts w:hint="eastAsia"/>
                <w:color w:val="000000"/>
                <w:sz w:val="20"/>
                <w:szCs w:val="20"/>
              </w:rPr>
              <w:t>开展各类宣传活动</w:t>
            </w:r>
          </w:p>
          <w:p>
            <w:pPr>
              <w:rPr>
                <w:rFonts w:ascii="宋体" w:hAnsi="宋体" w:cs="宋体"/>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100%</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巩固提升品牌项目</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p>
            <w:pPr>
              <w:rPr>
                <w:rFonts w:ascii="宋体" w:hAnsi="宋体" w:cs="宋体"/>
                <w:sz w:val="20"/>
                <w:szCs w:val="20"/>
              </w:rPr>
            </w:pPr>
            <w:r>
              <w:rPr>
                <w:rFonts w:hint="eastAsia"/>
                <w:color w:val="000000"/>
                <w:sz w:val="20"/>
                <w:szCs w:val="20"/>
              </w:rPr>
              <w:t>开展“慈善情暖万家”大型活动及9月5日开展</w:t>
            </w:r>
            <w:r>
              <w:rPr>
                <w:rFonts w:hint="eastAsia"/>
                <w:color w:val="000000"/>
                <w:sz w:val="20"/>
                <w:szCs w:val="20"/>
                <w:lang w:eastAsia="zh-CN"/>
              </w:rPr>
              <w:t>〈</w:t>
            </w:r>
            <w:r>
              <w:rPr>
                <w:rFonts w:hint="eastAsia"/>
                <w:color w:val="000000"/>
                <w:sz w:val="20"/>
                <w:szCs w:val="20"/>
              </w:rPr>
              <w:t>慈善法</w:t>
            </w:r>
            <w:r>
              <w:rPr>
                <w:rFonts w:hint="eastAsia"/>
                <w:color w:val="000000"/>
                <w:sz w:val="20"/>
                <w:szCs w:val="20"/>
                <w:lang w:eastAsia="zh-CN"/>
              </w:rPr>
              <w:t>〉</w:t>
            </w:r>
            <w:r>
              <w:rPr>
                <w:rFonts w:hint="eastAsia"/>
                <w:color w:val="000000"/>
                <w:sz w:val="20"/>
                <w:szCs w:val="20"/>
              </w:rPr>
              <w:t>宣传</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完成</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color w:val="000000"/>
                <w:sz w:val="20"/>
                <w:szCs w:val="20"/>
              </w:rPr>
              <w:t>开展“慈善情暖万家”大型活动及9月5日开展</w:t>
            </w:r>
            <w:r>
              <w:rPr>
                <w:rFonts w:hint="eastAsia"/>
                <w:color w:val="000000"/>
                <w:sz w:val="20"/>
                <w:szCs w:val="20"/>
                <w:lang w:eastAsia="zh-CN"/>
              </w:rPr>
              <w:t>〈</w:t>
            </w:r>
            <w:r>
              <w:rPr>
                <w:rFonts w:hint="eastAsia"/>
                <w:color w:val="000000"/>
                <w:sz w:val="20"/>
                <w:szCs w:val="20"/>
              </w:rPr>
              <w:t>慈善法</w:t>
            </w:r>
            <w:r>
              <w:rPr>
                <w:rFonts w:hint="eastAsia"/>
                <w:color w:val="000000"/>
                <w:sz w:val="20"/>
                <w:szCs w:val="20"/>
                <w:lang w:eastAsia="zh-CN"/>
              </w:rPr>
              <w:t>〉</w:t>
            </w:r>
            <w:r>
              <w:rPr>
                <w:rFonts w:hint="eastAsia"/>
                <w:color w:val="000000"/>
                <w:sz w:val="20"/>
                <w:szCs w:val="20"/>
              </w:rPr>
              <w:t>宣传</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100%</w:t>
            </w:r>
          </w:p>
        </w:tc>
        <w:tc>
          <w:tcPr>
            <w:tcW w:w="709"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color w:val="000000"/>
                <w:sz w:val="20"/>
                <w:szCs w:val="20"/>
              </w:rPr>
              <w:t>确保年内完成各项救助工作</w:t>
            </w:r>
          </w:p>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指标1：救助资金发放及时加大宣传力度，通过媒体交流合作，由网络、报纸共同宣传平台；2建立微信公众号、微信视频号、图文并茂</w:t>
            </w:r>
            <w:r>
              <w:rPr>
                <w:rFonts w:hint="eastAsia"/>
                <w:sz w:val="20"/>
                <w:szCs w:val="20"/>
                <w:lang w:eastAsia="zh-CN"/>
              </w:rPr>
              <w:t>地</w:t>
            </w:r>
            <w:r>
              <w:rPr>
                <w:rFonts w:hint="eastAsia"/>
                <w:sz w:val="20"/>
                <w:szCs w:val="20"/>
              </w:rPr>
              <w:t>广泛宣传慈善活动，从而展现慈善在淮北聚积的正能量</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完成</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救助资金发放及时　</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完成</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p>
            <w:pPr>
              <w:rPr>
                <w:rFonts w:ascii="宋体" w:hAnsi="宋体" w:cs="宋体"/>
                <w:color w:val="000000"/>
                <w:sz w:val="20"/>
                <w:szCs w:val="20"/>
              </w:rPr>
            </w:pPr>
            <w:r>
              <w:rPr>
                <w:rFonts w:hint="eastAsia"/>
                <w:color w:val="000000"/>
                <w:sz w:val="20"/>
                <w:szCs w:val="20"/>
              </w:rPr>
              <w:t>慈善救助困难群众、宣传费、办公费11万</w:t>
            </w:r>
          </w:p>
          <w:p>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慈善救助款500-3000元</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指标1</w:t>
            </w:r>
            <w:r>
              <w:rPr>
                <w:rFonts w:hint="eastAsia"/>
                <w:sz w:val="20"/>
                <w:szCs w:val="20"/>
                <w:lang w:eastAsia="zh-CN"/>
              </w:rPr>
              <w:t>：</w:t>
            </w:r>
            <w:r>
              <w:rPr>
                <w:rFonts w:hint="eastAsia"/>
                <w:sz w:val="20"/>
                <w:szCs w:val="20"/>
              </w:rPr>
              <w:t>全新改版淮北慈善网，新增慈善资讯、信息公开、慈善典型、慈善联盟等板块。2.确保各项慈善活动规范有序，扩展渠道募捐，为开展更广泛的救助打下基础</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p>
            <w:pPr>
              <w:rPr>
                <w:rFonts w:ascii="宋体" w:hAnsi="宋体" w:cs="宋体"/>
                <w:color w:val="000000"/>
                <w:sz w:val="20"/>
                <w:szCs w:val="20"/>
              </w:rPr>
            </w:pPr>
            <w:r>
              <w:rPr>
                <w:rFonts w:hint="eastAsia"/>
                <w:color w:val="000000"/>
                <w:sz w:val="20"/>
                <w:szCs w:val="20"/>
              </w:rPr>
              <w:t>为困难群众实施多方面慈善救助</w:t>
            </w:r>
          </w:p>
          <w:p>
            <w:pPr>
              <w:rPr>
                <w:rFonts w:ascii="宋体" w:hAnsi="宋体" w:cs="宋体"/>
                <w:sz w:val="20"/>
                <w:szCs w:val="20"/>
              </w:rPr>
            </w:pP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完成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探索多种形式的募集渠道，增强救助实力。2.在“慈善中国”“全国民政信息系统”公开募捐主体、方案等信息，特别是在应对重大公共危机时，每周进行收支公示，接受社会监督，更加公开、透明、高效，树立阳光慈善的社会公信力。</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完成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慈善组织自我管理规范，慈善组织健康发展</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 xml:space="preserve"> 指标1：建设</w:t>
            </w:r>
            <w:r>
              <w:rPr>
                <w:rFonts w:hint="eastAsia"/>
                <w:sz w:val="20"/>
                <w:szCs w:val="20"/>
                <w:lang w:eastAsia="zh-CN"/>
              </w:rPr>
              <w:t>和谐社会</w:t>
            </w:r>
          </w:p>
          <w:p>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完成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812" w:type="dxa"/>
            <w:tcBorders>
              <w:top w:val="nil"/>
              <w:left w:val="nil"/>
              <w:bottom w:val="single" w:color="auto" w:sz="4" w:space="0"/>
              <w:right w:val="single" w:color="auto" w:sz="4" w:space="0"/>
            </w:tcBorders>
            <w:noWrap w:val="0"/>
            <w:vAlign w:val="center"/>
          </w:tcPr>
          <w:p>
            <w:pPr>
              <w:rPr>
                <w:sz w:val="20"/>
                <w:szCs w:val="20"/>
              </w:rPr>
            </w:pPr>
            <w:r>
              <w:rPr>
                <w:rFonts w:hint="eastAsia"/>
                <w:sz w:val="20"/>
                <w:szCs w:val="20"/>
              </w:rPr>
              <w:t xml:space="preserve"> 指标1：建设</w:t>
            </w:r>
            <w:r>
              <w:rPr>
                <w:rFonts w:hint="eastAsia"/>
                <w:sz w:val="20"/>
                <w:szCs w:val="20"/>
                <w:lang w:eastAsia="zh-CN"/>
              </w:rPr>
              <w:t>和谐社会</w:t>
            </w:r>
          </w:p>
          <w:p>
            <w:pPr>
              <w:rPr>
                <w:rFonts w:ascii="宋体" w:hAnsi="宋体" w:cs="宋体"/>
                <w:sz w:val="20"/>
                <w:szCs w:val="20"/>
              </w:rPr>
            </w:pP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完成</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完成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p>
            <w:pPr>
              <w:rPr>
                <w:rFonts w:ascii="宋体" w:hAnsi="宋体" w:cs="宋体"/>
                <w:color w:val="000000"/>
                <w:sz w:val="20"/>
                <w:szCs w:val="20"/>
              </w:rPr>
            </w:pPr>
            <w:r>
              <w:rPr>
                <w:rFonts w:hint="eastAsia"/>
                <w:color w:val="000000"/>
                <w:sz w:val="20"/>
                <w:szCs w:val="20"/>
              </w:rPr>
              <w:t>成立慈善心理志愿服务队.2.建立健全县区慈善组织，形成上下联动、左右</w:t>
            </w:r>
            <w:r>
              <w:rPr>
                <w:rFonts w:hint="eastAsia"/>
                <w:color w:val="000000"/>
                <w:sz w:val="20"/>
                <w:szCs w:val="20"/>
                <w:lang w:eastAsia="zh-CN"/>
              </w:rPr>
              <w:t>协同</w:t>
            </w:r>
            <w:r>
              <w:rPr>
                <w:rFonts w:hint="eastAsia"/>
                <w:color w:val="000000"/>
                <w:sz w:val="20"/>
                <w:szCs w:val="20"/>
              </w:rPr>
              <w:t>工作格局。3有利发挥慈善协会贴近社会需求、帮助更多的困难群众。</w:t>
            </w:r>
          </w:p>
          <w:p>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100%</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完成</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长效管理制度健全性</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永久</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812" w:type="dxa"/>
            <w:tcBorders>
              <w:top w:val="nil"/>
              <w:left w:val="nil"/>
              <w:bottom w:val="single" w:color="auto" w:sz="4" w:space="0"/>
              <w:right w:val="nil"/>
            </w:tcBorders>
            <w:noWrap w:val="0"/>
            <w:vAlign w:val="center"/>
          </w:tcPr>
          <w:p>
            <w:pPr>
              <w:rPr>
                <w:rFonts w:ascii="宋体" w:hAnsi="宋体" w:cs="宋体"/>
                <w:sz w:val="20"/>
                <w:szCs w:val="20"/>
              </w:rPr>
            </w:pPr>
            <w:r>
              <w:rPr>
                <w:rFonts w:hint="eastAsia"/>
                <w:sz w:val="20"/>
                <w:szCs w:val="20"/>
              </w:rPr>
              <w:t>　</w:t>
            </w:r>
          </w:p>
        </w:tc>
        <w:tc>
          <w:tcPr>
            <w:tcW w:w="992" w:type="dxa"/>
            <w:gridSpan w:val="2"/>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p>
            <w:pPr>
              <w:rPr>
                <w:rFonts w:ascii="宋体" w:hAnsi="宋体" w:cs="宋体"/>
                <w:color w:val="000000"/>
                <w:sz w:val="20"/>
                <w:szCs w:val="20"/>
              </w:rPr>
            </w:pPr>
            <w:r>
              <w:rPr>
                <w:rFonts w:hint="eastAsia"/>
                <w:color w:val="000000"/>
                <w:sz w:val="20"/>
                <w:szCs w:val="20"/>
              </w:rPr>
              <w:t>通过宣传慈善理念，捐赠税收优惠政策以及所有信息公开透明，捐赠款物及时公布，受到群众满意。</w:t>
            </w:r>
          </w:p>
          <w:p>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100%　</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color w:val="000000"/>
                <w:sz w:val="20"/>
                <w:szCs w:val="20"/>
              </w:rPr>
              <w:t>通过宣传慈善理念，捐赠税收优惠政策以及所有信息公开透明，捐赠款物及时公布，受到群众满意。</w:t>
            </w:r>
          </w:p>
          <w:p>
            <w:pPr>
              <w:rPr>
                <w:rFonts w:ascii="宋体" w:hAnsi="宋体" w:cs="宋体"/>
                <w:sz w:val="20"/>
                <w:szCs w:val="20"/>
              </w:rPr>
            </w:pPr>
            <w:r>
              <w:rPr>
                <w:rFonts w:hint="eastAsia"/>
                <w:sz w:val="20"/>
                <w:szCs w:val="20"/>
              </w:rPr>
              <w:t>　网络、报纸</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12"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992"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94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812" w:type="dxa"/>
            <w:tcBorders>
              <w:top w:val="nil"/>
              <w:left w:val="nil"/>
              <w:bottom w:val="single" w:color="auto" w:sz="4" w:space="0"/>
              <w:right w:val="nil"/>
            </w:tcBorders>
            <w:noWrap w:val="0"/>
            <w:vAlign w:val="center"/>
          </w:tcPr>
          <w:p>
            <w:pPr>
              <w:rPr>
                <w:rFonts w:ascii="宋体" w:hAnsi="宋体" w:cs="宋体"/>
                <w:sz w:val="20"/>
                <w:szCs w:val="20"/>
              </w:rPr>
            </w:pPr>
            <w:r>
              <w:rPr>
                <w:rFonts w:hint="eastAsia"/>
                <w:sz w:val="20"/>
                <w:szCs w:val="20"/>
              </w:rPr>
              <w:t>　</w:t>
            </w:r>
          </w:p>
        </w:tc>
        <w:tc>
          <w:tcPr>
            <w:tcW w:w="992" w:type="dxa"/>
            <w:gridSpan w:val="2"/>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09"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4.</w:t>
      </w:r>
      <w:r>
        <w:rPr>
          <w:rFonts w:hint="eastAsia" w:ascii="仿宋_GB2312" w:hAnsi="楷体" w:eastAsia="仿宋_GB2312"/>
          <w:b/>
          <w:sz w:val="32"/>
          <w:szCs w:val="32"/>
        </w:rPr>
        <w:t>“居家养老购买服务补助”项目。</w:t>
      </w:r>
    </w:p>
    <w:p>
      <w:pPr>
        <w:adjustRightInd w:val="0"/>
        <w:snapToGrid w:val="0"/>
        <w:spacing w:line="600" w:lineRule="exact"/>
        <w:ind w:firstLine="640" w:firstLineChars="200"/>
        <w:rPr>
          <w:rFonts w:ascii="仿宋_GB2312" w:hAnsi="楷体" w:eastAsia="仿宋_GB2312"/>
          <w:color w:val="auto"/>
          <w:sz w:val="32"/>
          <w:szCs w:val="32"/>
        </w:rPr>
      </w:pPr>
      <w:r>
        <w:rPr>
          <w:rFonts w:hint="eastAsia" w:ascii="仿宋_GB2312" w:hAnsi="楷体" w:eastAsia="仿宋_GB2312"/>
          <w:sz w:val="32"/>
          <w:szCs w:val="32"/>
        </w:rPr>
        <w:t>（1）项目概述。为</w:t>
      </w:r>
      <w:r>
        <w:rPr>
          <w:rFonts w:hint="eastAsia" w:ascii="仿宋_GB2312" w:hAnsi="楷体" w:eastAsia="仿宋_GB2312"/>
          <w:sz w:val="32"/>
          <w:szCs w:val="32"/>
          <w:lang w:eastAsia="zh-CN"/>
        </w:rPr>
        <w:t>市辖三区</w:t>
      </w:r>
      <w:r>
        <w:rPr>
          <w:rFonts w:hint="eastAsia" w:ascii="仿宋_GB2312" w:hAnsi="楷体" w:eastAsia="仿宋_GB2312"/>
          <w:sz w:val="32"/>
          <w:szCs w:val="32"/>
        </w:rPr>
        <w:t>约</w:t>
      </w:r>
      <w:r>
        <w:rPr>
          <w:rFonts w:hint="eastAsia" w:ascii="仿宋_GB2312" w:hAnsi="楷体" w:eastAsia="仿宋_GB2312"/>
          <w:sz w:val="32"/>
          <w:szCs w:val="32"/>
          <w:lang w:val="en-US" w:eastAsia="zh-CN"/>
        </w:rPr>
        <w:t>4000</w:t>
      </w:r>
      <w:r>
        <w:rPr>
          <w:rFonts w:hint="eastAsia" w:ascii="仿宋_GB2312" w:hAnsi="楷体" w:eastAsia="仿宋_GB2312"/>
          <w:sz w:val="32"/>
          <w:szCs w:val="32"/>
        </w:rPr>
        <w:t>名特定老年人（80周岁以上低保老年人）提供生活照料、疾病诊疗、健康保健、精</w:t>
      </w:r>
      <w:r>
        <w:rPr>
          <w:rFonts w:hint="eastAsia" w:ascii="仿宋_GB2312" w:hAnsi="楷体" w:eastAsia="仿宋_GB2312"/>
          <w:color w:val="auto"/>
          <w:sz w:val="32"/>
          <w:szCs w:val="32"/>
        </w:rPr>
        <w:t>神慰藉、文化娱乐等居家服务</w:t>
      </w:r>
      <w:r>
        <w:rPr>
          <w:rFonts w:hint="eastAsia" w:ascii="仿宋_GB2312" w:hAnsi="楷体" w:eastAsia="仿宋_GB2312"/>
          <w:color w:val="auto"/>
          <w:sz w:val="32"/>
          <w:szCs w:val="32"/>
          <w:lang w:eastAsia="zh-CN"/>
        </w:rPr>
        <w:t>。</w:t>
      </w:r>
    </w:p>
    <w:p>
      <w:pPr>
        <w:adjustRightInd w:val="0"/>
        <w:snapToGrid w:val="0"/>
        <w:spacing w:line="600" w:lineRule="exact"/>
        <w:ind w:firstLine="640" w:firstLineChars="200"/>
        <w:rPr>
          <w:rFonts w:hint="default" w:ascii="仿宋_GB2312" w:hAnsi="楷体" w:eastAsia="仿宋_GB2312"/>
          <w:color w:val="auto"/>
          <w:sz w:val="32"/>
          <w:szCs w:val="32"/>
          <w:lang w:val="en-US" w:eastAsia="zh-CN"/>
        </w:rPr>
      </w:pPr>
      <w:r>
        <w:rPr>
          <w:rFonts w:hint="eastAsia" w:ascii="仿宋_GB2312" w:hAnsi="楷体" w:eastAsia="仿宋_GB2312"/>
          <w:color w:val="auto"/>
          <w:sz w:val="32"/>
          <w:szCs w:val="32"/>
        </w:rPr>
        <w:t>（2）立项依据。</w:t>
      </w:r>
      <w:r>
        <w:rPr>
          <w:rFonts w:hint="eastAsia" w:ascii="仿宋_GB2312" w:hAnsi="楷体" w:eastAsia="仿宋_GB2312"/>
          <w:color w:val="auto"/>
          <w:sz w:val="32"/>
          <w:szCs w:val="32"/>
          <w:lang w:val="en-US" w:eastAsia="zh-CN"/>
        </w:rPr>
        <w:t>为民生工程任务。</w:t>
      </w:r>
      <w:r>
        <w:rPr>
          <w:rFonts w:hint="eastAsia" w:ascii="仿宋_GB2312" w:hAnsi="楷体" w:eastAsia="仿宋_GB2312"/>
          <w:color w:val="auto"/>
          <w:sz w:val="32"/>
          <w:szCs w:val="32"/>
          <w:lang w:eastAsia="zh-CN"/>
        </w:rPr>
        <w:t>1.民政部 财政部 《关于确定第三批中央财政支持开展居家和社区养老服务改革试点地区的通知》（民函〔2018〕80号）2.安徽省人民政府办公厅《关于印发安徽省构建多层次养老服务体系（2018—2020年）行动计划的通知》（皖政办〔2018〕6号）3.安徽省财政厅 安徽省民政厅《关于下达第三批居家和社区养老服务改革试点中央补助资金的通知》（财社〔2018〕729号）4.《淮北市居家和社区养老服务改革试点申报方案》（淮民福〔2018〕2号）5.淮民福（2019）6号：淮北市市辖区政府购买困难老年人居家养老服务项目实施方案6.淮民社救〔2022〕5号：关于印发《淮北市城乡居民最低生活保障实施方案》等七项民生工程实施方案的通知。</w:t>
      </w:r>
    </w:p>
    <w:p>
      <w:pPr>
        <w:adjustRightInd w:val="0"/>
        <w:snapToGrid w:val="0"/>
        <w:spacing w:line="600" w:lineRule="exact"/>
        <w:ind w:firstLine="640" w:firstLineChars="200"/>
        <w:rPr>
          <w:rFonts w:ascii="仿宋_GB2312" w:hAnsi="楷体" w:eastAsia="仿宋_GB2312"/>
          <w:color w:val="auto"/>
          <w:sz w:val="32"/>
          <w:szCs w:val="32"/>
        </w:rPr>
      </w:pPr>
      <w:r>
        <w:rPr>
          <w:rFonts w:hint="eastAsia" w:ascii="仿宋_GB2312" w:hAnsi="楷体" w:eastAsia="仿宋_GB2312"/>
          <w:color w:val="auto"/>
          <w:sz w:val="32"/>
          <w:szCs w:val="32"/>
        </w:rPr>
        <w:t>（3）实施主体。养老服务科</w:t>
      </w:r>
    </w:p>
    <w:p>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楷体" w:eastAsia="仿宋_GB2312"/>
          <w:color w:val="auto"/>
          <w:sz w:val="32"/>
          <w:szCs w:val="32"/>
        </w:rPr>
        <w:t>（4）起止时间。202</w:t>
      </w:r>
      <w:r>
        <w:rPr>
          <w:rFonts w:hint="eastAsia" w:ascii="仿宋_GB2312" w:hAnsi="楷体" w:eastAsia="仿宋_GB2312"/>
          <w:color w:val="auto"/>
          <w:sz w:val="32"/>
          <w:szCs w:val="32"/>
          <w:lang w:val="en-US" w:eastAsia="zh-CN"/>
        </w:rPr>
        <w:t>4.1</w:t>
      </w:r>
      <w:r>
        <w:rPr>
          <w:rFonts w:hint="eastAsia" w:ascii="仿宋_GB2312" w:hAnsi="楷体" w:eastAsia="仿宋_GB2312"/>
          <w:color w:val="auto"/>
          <w:sz w:val="32"/>
          <w:szCs w:val="32"/>
        </w:rPr>
        <w:t>--202</w:t>
      </w:r>
      <w:r>
        <w:rPr>
          <w:rFonts w:hint="eastAsia" w:ascii="仿宋_GB2312" w:hAnsi="楷体" w:eastAsia="仿宋_GB2312"/>
          <w:color w:val="auto"/>
          <w:sz w:val="32"/>
          <w:szCs w:val="32"/>
          <w:lang w:val="en-US" w:eastAsia="zh-CN"/>
        </w:rPr>
        <w:t>4.12</w:t>
      </w:r>
    </w:p>
    <w:p>
      <w:pPr>
        <w:adjustRightInd w:val="0"/>
        <w:snapToGrid w:val="0"/>
        <w:spacing w:line="600" w:lineRule="exact"/>
        <w:ind w:firstLine="640" w:firstLineChars="200"/>
        <w:rPr>
          <w:rFonts w:hint="eastAsia" w:ascii="仿宋_GB2312" w:hAnsi="楷体" w:eastAsia="仿宋_GB2312"/>
          <w:color w:val="auto"/>
          <w:sz w:val="32"/>
          <w:szCs w:val="32"/>
          <w:lang w:eastAsia="zh-CN"/>
        </w:rPr>
      </w:pPr>
      <w:r>
        <w:rPr>
          <w:rFonts w:hint="eastAsia" w:ascii="仿宋_GB2312" w:hAnsi="楷体" w:eastAsia="仿宋_GB2312"/>
          <w:color w:val="auto"/>
          <w:sz w:val="32"/>
          <w:szCs w:val="32"/>
        </w:rPr>
        <w:t>（5）项目内容。</w:t>
      </w:r>
      <w:r>
        <w:rPr>
          <w:rFonts w:hint="eastAsia" w:ascii="仿宋_GB2312" w:hAnsi="楷体" w:eastAsia="仿宋_GB2312"/>
          <w:color w:val="auto"/>
          <w:sz w:val="32"/>
          <w:szCs w:val="32"/>
          <w:lang w:eastAsia="zh-CN"/>
        </w:rPr>
        <w:t>对特殊困难老人开展</w:t>
      </w:r>
      <w:r>
        <w:rPr>
          <w:rFonts w:hint="eastAsia" w:ascii="仿宋_GB2312" w:hAnsi="楷体" w:eastAsia="仿宋_GB2312"/>
          <w:color w:val="auto"/>
          <w:sz w:val="32"/>
          <w:szCs w:val="32"/>
        </w:rPr>
        <w:t>居家养老服务，解决困难老人生活、医疗、精神慰藉等方面的困难</w:t>
      </w:r>
      <w:r>
        <w:rPr>
          <w:rFonts w:hint="eastAsia" w:ascii="仿宋_GB2312" w:hAnsi="楷体" w:eastAsia="仿宋_GB2312"/>
          <w:color w:val="auto"/>
          <w:sz w:val="32"/>
          <w:szCs w:val="32"/>
          <w:lang w:eastAsia="zh-CN"/>
        </w:rPr>
        <w:t>。</w:t>
      </w:r>
    </w:p>
    <w:p>
      <w:pPr>
        <w:adjustRightInd w:val="0"/>
        <w:snapToGrid w:val="0"/>
        <w:spacing w:line="600" w:lineRule="exact"/>
        <w:ind w:firstLine="640" w:firstLineChars="200"/>
        <w:rPr>
          <w:rFonts w:ascii="仿宋_GB2312" w:hAnsi="仿宋" w:eastAsia="仿宋_GB2312"/>
          <w:color w:val="auto"/>
          <w:sz w:val="32"/>
          <w:szCs w:val="32"/>
        </w:rPr>
      </w:pPr>
      <w:r>
        <w:rPr>
          <w:rFonts w:hint="eastAsia" w:ascii="仿宋_GB2312" w:hAnsi="楷体" w:eastAsia="仿宋_GB2312"/>
          <w:color w:val="auto"/>
          <w:sz w:val="32"/>
          <w:szCs w:val="32"/>
        </w:rPr>
        <w:t>（6）年度预算安排。</w:t>
      </w:r>
      <w:r>
        <w:rPr>
          <w:rFonts w:hint="eastAsia" w:ascii="仿宋_GB2312" w:hAnsi="楷体" w:eastAsia="仿宋_GB2312"/>
          <w:color w:val="auto"/>
          <w:sz w:val="32"/>
          <w:szCs w:val="32"/>
          <w:lang w:val="en-US" w:eastAsia="zh-CN"/>
        </w:rPr>
        <w:t>514</w:t>
      </w:r>
      <w:r>
        <w:rPr>
          <w:rFonts w:hint="eastAsia" w:ascii="仿宋_GB2312" w:hAnsi="楷体" w:eastAsia="仿宋_GB2312"/>
          <w:color w:val="auto"/>
          <w:sz w:val="32"/>
          <w:szCs w:val="32"/>
        </w:rPr>
        <w:t>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color w:val="auto"/>
          <w:sz w:val="32"/>
          <w:szCs w:val="32"/>
        </w:rPr>
        <w:t>（7）绩效目标。</w:t>
      </w:r>
      <w:r>
        <w:rPr>
          <w:rFonts w:hint="eastAsia" w:ascii="仿宋_GB2312" w:hAnsi="楷体" w:eastAsia="仿宋_GB2312"/>
          <w:color w:val="auto"/>
          <w:sz w:val="32"/>
          <w:szCs w:val="32"/>
          <w:lang w:eastAsia="zh-CN"/>
        </w:rPr>
        <w:t>提升特殊困难老年人的养老服务质量，完善居家和社区养老服务。</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居家养老购买服务补助</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养老服务科</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sz w:val="20"/>
                <w:szCs w:val="20"/>
                <w:lang w:val="en-US"/>
              </w:rPr>
            </w:pPr>
            <w:r>
              <w:rPr>
                <w:rFonts w:hint="eastAsia"/>
                <w:sz w:val="20"/>
                <w:szCs w:val="20"/>
                <w:lang w:val="en-US" w:eastAsia="zh-CN"/>
              </w:rPr>
              <w:t>257</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cs="宋体"/>
                <w:sz w:val="20"/>
                <w:szCs w:val="20"/>
                <w:lang w:val="en-US"/>
              </w:rPr>
            </w:pPr>
            <w:r>
              <w:rPr>
                <w:rFonts w:hint="eastAsia" w:ascii="宋体" w:hAnsi="宋体" w:cs="宋体"/>
                <w:sz w:val="20"/>
                <w:szCs w:val="20"/>
                <w:lang w:val="en-US" w:eastAsia="zh-CN"/>
              </w:rPr>
              <w:t>514</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sz w:val="20"/>
                <w:szCs w:val="20"/>
                <w:lang w:val="en-US"/>
              </w:rPr>
            </w:pPr>
            <w:r>
              <w:rPr>
                <w:rFonts w:hint="eastAsia"/>
                <w:sz w:val="20"/>
                <w:szCs w:val="20"/>
                <w:lang w:val="en-US" w:eastAsia="zh-CN"/>
              </w:rPr>
              <w:t>257</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cs="宋体"/>
                <w:sz w:val="20"/>
                <w:szCs w:val="20"/>
                <w:lang w:val="en-US"/>
              </w:rPr>
            </w:pPr>
            <w:r>
              <w:rPr>
                <w:rFonts w:hint="eastAsia" w:ascii="宋体" w:hAnsi="宋体" w:cs="宋体"/>
                <w:sz w:val="20"/>
                <w:szCs w:val="20"/>
                <w:lang w:val="en-US" w:eastAsia="zh-CN"/>
              </w:rPr>
              <w:t>514</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0</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rPr>
                <w:rFonts w:ascii="宋体" w:hAnsi="宋体" w:cs="宋体"/>
                <w:sz w:val="20"/>
                <w:szCs w:val="20"/>
              </w:rPr>
            </w:pPr>
            <w:r>
              <w:rPr>
                <w:rFonts w:hint="eastAsia" w:ascii="宋体" w:hAnsi="宋体" w:cs="宋体"/>
                <w:sz w:val="20"/>
                <w:szCs w:val="20"/>
                <w:lang w:eastAsia="zh-CN"/>
              </w:rPr>
              <w:t>为市辖三区约</w:t>
            </w:r>
            <w:r>
              <w:rPr>
                <w:rFonts w:hint="eastAsia" w:ascii="宋体" w:hAnsi="宋体" w:cs="宋体"/>
                <w:sz w:val="20"/>
                <w:szCs w:val="20"/>
                <w:lang w:val="en-US" w:eastAsia="zh-CN"/>
              </w:rPr>
              <w:t>4100</w:t>
            </w:r>
            <w:r>
              <w:rPr>
                <w:rFonts w:hint="eastAsia" w:ascii="宋体" w:hAnsi="宋体" w:cs="宋体"/>
                <w:sz w:val="20"/>
                <w:szCs w:val="20"/>
                <w:lang w:eastAsia="zh-CN"/>
              </w:rPr>
              <w:t>名特定老年人（80周岁以上低保老年人）提供生活照料、疾病诊疗、健康保健、精神慰藉、文化娱乐等居家服务。提升特殊困难老年人的养老服务质量，完善居家和社区养老服务。</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ascii="宋体" w:hAnsi="宋体" w:cs="宋体"/>
                <w:sz w:val="20"/>
                <w:szCs w:val="20"/>
                <w:lang w:eastAsia="zh-CN"/>
              </w:rPr>
              <w:t>为市辖三区约</w:t>
            </w:r>
            <w:r>
              <w:rPr>
                <w:rFonts w:hint="eastAsia" w:ascii="宋体" w:hAnsi="宋体" w:cs="宋体"/>
                <w:sz w:val="20"/>
                <w:szCs w:val="20"/>
                <w:lang w:val="en-US" w:eastAsia="zh-CN"/>
              </w:rPr>
              <w:t>4100</w:t>
            </w:r>
            <w:r>
              <w:rPr>
                <w:rFonts w:hint="eastAsia" w:ascii="宋体" w:hAnsi="宋体" w:cs="宋体"/>
                <w:sz w:val="20"/>
                <w:szCs w:val="20"/>
                <w:lang w:eastAsia="zh-CN"/>
              </w:rPr>
              <w:t>名特定老年人（80周岁以上低保老年人）提供生活照料、疾病诊疗、健康保健、精神慰藉、文化娱乐等居家服务。提升特殊困难老年人的养老服务质量，完善居家和社区养老服务。</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纳入政府购买服务的市辖三区困难老人</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纳入政府购买服务的市辖三区困难老人</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提升广大老年群体养老服务质量</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提升广大老年群体养老服务质量</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15</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及时发放各类资金</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及时发放各类资金</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15</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完善居家和社区养老服务，带动淮北市养老产业发展。</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达成预期指标</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完善居家和社区养老服务，带动淮北市养老产业发展。</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达成预期指标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享受服务的困难老年人满意度高</w:t>
            </w:r>
          </w:p>
        </w:tc>
        <w:tc>
          <w:tcPr>
            <w:tcW w:w="860"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ascii="宋体" w:hAnsi="宋体" w:cs="宋体"/>
                <w:sz w:val="20"/>
                <w:szCs w:val="20"/>
                <w:lang w:val="en-US" w:eastAsia="zh-CN"/>
              </w:rPr>
              <w:t>10</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95%以上</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享受服务的困难老年人满意度高</w:t>
            </w:r>
          </w:p>
        </w:tc>
        <w:tc>
          <w:tcPr>
            <w:tcW w:w="623"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ascii="宋体" w:hAnsi="宋体" w:cs="宋体"/>
                <w:sz w:val="20"/>
                <w:szCs w:val="20"/>
                <w:lang w:val="en-US" w:eastAsia="zh-CN"/>
              </w:rPr>
              <w:t>10</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95%以上</w:t>
            </w:r>
          </w:p>
        </w:tc>
      </w:tr>
    </w:tbl>
    <w:p>
      <w:pPr>
        <w:adjustRightInd w:val="0"/>
        <w:snapToGrid w:val="0"/>
        <w:spacing w:line="600" w:lineRule="exact"/>
        <w:ind w:firstLine="803" w:firstLineChars="250"/>
        <w:rPr>
          <w:rFonts w:ascii="仿宋_GB2312" w:hAnsi="楷体" w:eastAsia="仿宋_GB2312"/>
          <w:b/>
          <w:color w:val="000000"/>
          <w:sz w:val="32"/>
          <w:szCs w:val="32"/>
        </w:rPr>
      </w:pPr>
      <w:r>
        <w:rPr>
          <w:rFonts w:hint="eastAsia" w:ascii="仿宋_GB2312" w:hAnsi="楷体" w:eastAsia="仿宋_GB2312"/>
          <w:b/>
          <w:sz w:val="32"/>
          <w:szCs w:val="32"/>
          <w:lang w:val="en-US" w:eastAsia="zh-CN"/>
        </w:rPr>
        <w:t>5.</w:t>
      </w:r>
      <w:r>
        <w:rPr>
          <w:rFonts w:hint="eastAsia" w:ascii="仿宋_GB2312" w:hAnsi="楷体" w:eastAsia="仿宋_GB2312"/>
          <w:b/>
          <w:color w:val="000000"/>
          <w:sz w:val="32"/>
          <w:szCs w:val="32"/>
        </w:rPr>
        <w:t>“社会工作试点经费”项目。</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通过建立乡镇 （街道）社工站，打通为民服务“最后一米”， 实现“社工站”街道（镇）全覆盖，建立社工总站，加快推进以保障和改善民生为重点的社会建设，加强和创新社会管理，大力发展社会事业，造就一支数量充足、结构合理、素质优良的社会工作专业人才队伍，充分发挥他们在困难救助、矛盾调处、人文关怀、心理疏导、行为矫治等个性化、多样化服务方面的专业优势，对解决社会问题、应对社会风险促进社会和谐、推动社会发展具有重要基础性作用。</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1.中共中央办公厅 国务院办公厅印发《关于加快推进乡村人才振兴的意见》（民办函〔2021〕20号）</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w:t>
      </w:r>
      <w:r>
        <w:rPr>
          <w:rFonts w:hint="eastAsia" w:ascii="仿宋_GB2312" w:eastAsia="仿宋_GB2312"/>
          <w:sz w:val="32"/>
          <w:szCs w:val="32"/>
        </w:rPr>
        <w:t xml:space="preserve"> 省民政厅等七部门联合发文《</w:t>
      </w:r>
      <w:r>
        <w:rPr>
          <w:rFonts w:hint="eastAsia" w:ascii="仿宋_GB2312" w:hAnsi="楷体" w:eastAsia="仿宋_GB2312"/>
          <w:sz w:val="32"/>
          <w:szCs w:val="32"/>
        </w:rPr>
        <w:t>关于推进乡镇（街道）社会工作服务站建设的实施方案》（皖民办字〔2021〕44号）</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3.淮北市人民政府办公室关于印发《市政府向社会力量购买服务办法的通知》（淮政办〔2014〕14号）</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（3）实施主体。淮北市民政局慈社科</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rPr>
        <w:t>2024年1月—2024年12月</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（5）项目内容。建立乡镇 （街道）社工站，实现“社工站”街道（镇）全覆盖，建立社工总站，造就一支数量充足、结构合理、素质优良的社会工作专业人才队伍，购买社会工作项目，提供多样化服务方面的专业优势，对专业社工一次性奖励，提高工作积极性，增强社会认同感。</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仿宋" w:eastAsia="仿宋_GB2312"/>
          <w:sz w:val="32"/>
          <w:szCs w:val="32"/>
        </w:rPr>
        <w:t>按进度支出。</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p>
    <w:p>
      <w:pPr>
        <w:adjustRightInd w:val="0"/>
        <w:snapToGrid w:val="0"/>
        <w:spacing w:line="600" w:lineRule="exact"/>
        <w:ind w:firstLine="640" w:firstLineChars="200"/>
        <w:rPr>
          <w:rFonts w:ascii="仿宋_GB2312" w:hAnsi="楷体" w:eastAsia="仿宋_GB2312"/>
          <w:sz w:val="32"/>
          <w:szCs w:val="32"/>
        </w:rPr>
      </w:pP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ind w:firstLine="3196" w:firstLineChars="995"/>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color w:val="000000"/>
                <w:sz w:val="20"/>
                <w:szCs w:val="20"/>
              </w:rPr>
              <w:t>社会工作试点经费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市民政局慈社科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经常性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lang w:val="en-US" w:eastAsia="zh-CN"/>
              </w:rPr>
              <w:t>13</w:t>
            </w: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sz w:val="20"/>
                <w:szCs w:val="20"/>
                <w:lang w:val="en-US" w:eastAsia="zh-CN"/>
              </w:rPr>
              <w:t>13</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0"/>
                <w:szCs w:val="20"/>
                <w:lang w:val="en-US" w:eastAsia="zh-CN"/>
              </w:rPr>
            </w:pPr>
            <w:r>
              <w:rPr>
                <w:rFonts w:hint="eastAsia"/>
                <w:sz w:val="20"/>
                <w:szCs w:val="20"/>
                <w:lang w:val="en-US" w:eastAsia="zh-CN"/>
              </w:rPr>
              <w:t>13</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sz w:val="20"/>
                <w:szCs w:val="20"/>
                <w:lang w:val="en-US" w:eastAsia="zh-CN"/>
              </w:rPr>
              <w:t>13</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bidi="ar-SA"/>
              </w:rPr>
              <w:t>目标1：加快建立健全乡镇（街道）社会工作人才制度体系，力 争“十四五”末，实现乡镇（街道）都有社工站，村社区都有社会工作者提供服务的站点，建立社工总站，开展绩效表彰。</w:t>
            </w:r>
          </w:p>
          <w:p>
            <w:pPr>
              <w:jc w:val="left"/>
              <w:rPr>
                <w:rFonts w:hint="eastAsia" w:ascii="仿宋_GB2312" w:hAnsi="楷体" w:eastAsia="仿宋_GB2312"/>
                <w:b/>
                <w:sz w:val="32"/>
                <w:szCs w:val="32"/>
                <w:lang w:val="en-US" w:eastAsia="zh-CN"/>
              </w:rPr>
            </w:pPr>
            <w:r>
              <w:rPr>
                <w:rFonts w:hint="eastAsia" w:ascii="宋体" w:hAnsi="宋体" w:eastAsia="宋体" w:cs="宋体"/>
                <w:color w:val="000000"/>
                <w:kern w:val="0"/>
                <w:sz w:val="18"/>
                <w:szCs w:val="18"/>
                <w:lang w:val="en-US" w:eastAsia="zh-CN" w:bidi="ar-SA"/>
              </w:rPr>
              <w:t>目标2：购买社会工作项目，开展培训，造就一支德才兼备、素质优良的社会工作队伍，提供社会工作专业服务。</w:t>
            </w:r>
          </w:p>
          <w:p>
            <w:pPr>
              <w:ind w:left="0" w:leftChars="-731" w:right="4353" w:rightChars="2073" w:hanging="1535" w:hangingChars="853"/>
              <w:jc w:val="left"/>
              <w:rPr>
                <w:rFonts w:hint="default" w:ascii="宋体" w:hAnsi="宋体" w:eastAsia="宋体" w:cs="宋体"/>
                <w:color w:val="000000"/>
                <w:kern w:val="0"/>
                <w:sz w:val="18"/>
                <w:szCs w:val="18"/>
                <w:lang w:val="en-US" w:eastAsia="zh-CN" w:bidi="ar-SA"/>
              </w:rPr>
            </w:pP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hint="eastAsia" w:ascii="宋体" w:hAnsi="宋体" w:cs="宋体"/>
                <w:color w:val="000000"/>
                <w:kern w:val="0"/>
                <w:sz w:val="18"/>
                <w:szCs w:val="18"/>
              </w:rPr>
            </w:pPr>
            <w:r>
              <w:rPr>
                <w:rFonts w:hint="eastAsia"/>
                <w:sz w:val="18"/>
                <w:szCs w:val="18"/>
              </w:rPr>
              <w:t>目标1：实现乡镇（街道）都有社工站，村（社区）都有社会工作者提供服务的站点，建立社工总站，开展绩效评价</w:t>
            </w:r>
            <w:r>
              <w:rPr>
                <w:rFonts w:hint="eastAsia"/>
                <w:sz w:val="18"/>
                <w:szCs w:val="18"/>
              </w:rPr>
              <w:br w:type="textWrapping"/>
            </w:r>
            <w:r>
              <w:rPr>
                <w:rFonts w:hint="eastAsia"/>
                <w:sz w:val="18"/>
                <w:szCs w:val="18"/>
              </w:rPr>
              <w:t>目标2：购买社会工作项目，开展培训，</w:t>
            </w:r>
            <w:r>
              <w:rPr>
                <w:rFonts w:hint="eastAsia" w:ascii="宋体" w:hAnsi="宋体" w:cs="宋体"/>
                <w:color w:val="000000"/>
                <w:kern w:val="0"/>
                <w:sz w:val="18"/>
                <w:szCs w:val="18"/>
              </w:rPr>
              <w:t>造就一支德才兼备、素质优良的社会工作队伍，提供社会工作专业服务。</w:t>
            </w:r>
          </w:p>
          <w:p>
            <w:pPr>
              <w:rPr>
                <w:rFonts w:ascii="宋体" w:hAnsi="宋体" w:cs="宋体"/>
                <w:sz w:val="20"/>
                <w:szCs w:val="20"/>
              </w:rPr>
            </w:pP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指标1：建立社工总站</w:t>
            </w:r>
          </w:p>
        </w:tc>
        <w:tc>
          <w:tcPr>
            <w:tcW w:w="860"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1个</w:t>
            </w:r>
          </w:p>
        </w:tc>
        <w:tc>
          <w:tcPr>
            <w:tcW w:w="791"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1个</w:t>
            </w:r>
          </w:p>
        </w:tc>
        <w:tc>
          <w:tcPr>
            <w:tcW w:w="88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指标1：建立社工总站</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1个</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1个</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2000" w:type="dxa"/>
            <w:tcBorders>
              <w:top w:val="single" w:color="auto" w:sz="4" w:space="0"/>
              <w:left w:val="nil"/>
              <w:bottom w:val="single" w:color="auto" w:sz="4" w:space="0"/>
              <w:right w:val="single" w:color="auto" w:sz="4" w:space="0"/>
            </w:tcBorders>
            <w:noWrap w:val="0"/>
            <w:vAlign w:val="center"/>
          </w:tcPr>
          <w:p>
            <w:pPr>
              <w:ind w:firstLine="100" w:firstLineChars="50"/>
              <w:rPr>
                <w:rFonts w:hint="eastAsia"/>
                <w:sz w:val="20"/>
                <w:szCs w:val="20"/>
              </w:rPr>
            </w:pPr>
            <w:r>
              <w:rPr>
                <w:rFonts w:hint="eastAsia"/>
                <w:sz w:val="20"/>
                <w:szCs w:val="20"/>
              </w:rPr>
              <w:t>指标2：购买社会工作项目</w:t>
            </w:r>
          </w:p>
        </w:tc>
        <w:tc>
          <w:tcPr>
            <w:tcW w:w="860" w:type="dxa"/>
            <w:tcBorders>
              <w:top w:val="single" w:color="auto" w:sz="4" w:space="0"/>
              <w:left w:val="nil"/>
              <w:bottom w:val="single" w:color="auto" w:sz="4" w:space="0"/>
              <w:right w:val="single" w:color="auto" w:sz="4" w:space="0"/>
            </w:tcBorders>
            <w:noWrap w:val="0"/>
            <w:vAlign w:val="center"/>
          </w:tcPr>
          <w:p>
            <w:pPr>
              <w:rPr>
                <w:rFonts w:hint="eastAsia"/>
                <w:sz w:val="20"/>
                <w:szCs w:val="20"/>
              </w:rPr>
            </w:pPr>
            <w:r>
              <w:rPr>
                <w:rFonts w:hint="eastAsia"/>
                <w:sz w:val="20"/>
                <w:szCs w:val="20"/>
              </w:rPr>
              <w:t>4个</w:t>
            </w:r>
          </w:p>
        </w:tc>
        <w:tc>
          <w:tcPr>
            <w:tcW w:w="791"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4个</w:t>
            </w:r>
          </w:p>
        </w:tc>
        <w:tc>
          <w:tcPr>
            <w:tcW w:w="88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1040" w:type="dxa"/>
            <w:tcBorders>
              <w:top w:val="single" w:color="auto" w:sz="4" w:space="0"/>
              <w:left w:val="single" w:color="auto" w:sz="4" w:space="0"/>
              <w:bottom w:val="single" w:color="auto" w:sz="4" w:space="0"/>
              <w:right w:val="single" w:color="auto" w:sz="4" w:space="0"/>
            </w:tcBorders>
            <w:noWrap w:val="0"/>
            <w:vAlign w:val="center"/>
          </w:tcPr>
          <w:p>
            <w:pPr>
              <w:ind w:firstLine="100" w:firstLineChars="50"/>
              <w:rPr>
                <w:rFonts w:hint="eastAsia"/>
                <w:sz w:val="20"/>
                <w:szCs w:val="20"/>
              </w:rPr>
            </w:pPr>
            <w:r>
              <w:rPr>
                <w:rFonts w:hint="eastAsia"/>
                <w:sz w:val="20"/>
                <w:szCs w:val="20"/>
              </w:rPr>
              <w:t>指标2：购买社会工作项目</w:t>
            </w:r>
          </w:p>
        </w:tc>
        <w:tc>
          <w:tcPr>
            <w:tcW w:w="623" w:type="dxa"/>
            <w:tcBorders>
              <w:top w:val="single" w:color="auto" w:sz="4" w:space="0"/>
              <w:left w:val="nil"/>
              <w:bottom w:val="single" w:color="auto" w:sz="4" w:space="0"/>
              <w:right w:val="single" w:color="auto" w:sz="4" w:space="0"/>
            </w:tcBorders>
            <w:noWrap w:val="0"/>
            <w:vAlign w:val="center"/>
          </w:tcPr>
          <w:p>
            <w:pPr>
              <w:rPr>
                <w:rFonts w:hint="eastAsia"/>
                <w:sz w:val="20"/>
                <w:szCs w:val="20"/>
              </w:rPr>
            </w:pPr>
            <w:r>
              <w:rPr>
                <w:rFonts w:hint="eastAsia"/>
                <w:sz w:val="20"/>
                <w:szCs w:val="20"/>
              </w:rPr>
              <w:t>4个</w:t>
            </w:r>
          </w:p>
        </w:tc>
        <w:tc>
          <w:tcPr>
            <w:tcW w:w="641"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4个</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指标1：满足需求，保质完成</w:t>
            </w:r>
          </w:p>
        </w:tc>
        <w:tc>
          <w:tcPr>
            <w:tcW w:w="860"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高质完成</w:t>
            </w:r>
          </w:p>
        </w:tc>
        <w:tc>
          <w:tcPr>
            <w:tcW w:w="791"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高质完成</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指标1：保质完成</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高质完成</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高质完成</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指标1：按时完成</w:t>
            </w:r>
          </w:p>
        </w:tc>
        <w:tc>
          <w:tcPr>
            <w:tcW w:w="860"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按时完成</w:t>
            </w:r>
          </w:p>
        </w:tc>
        <w:tc>
          <w:tcPr>
            <w:tcW w:w="791"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按时完成</w:t>
            </w:r>
          </w:p>
        </w:tc>
        <w:tc>
          <w:tcPr>
            <w:tcW w:w="889" w:type="dxa"/>
            <w:tcBorders>
              <w:top w:val="single" w:color="auto" w:sz="4" w:space="0"/>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指标1：按时完成</w:t>
            </w:r>
          </w:p>
        </w:tc>
        <w:tc>
          <w:tcPr>
            <w:tcW w:w="623"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按时完成</w:t>
            </w:r>
          </w:p>
        </w:tc>
        <w:tc>
          <w:tcPr>
            <w:tcW w:w="641" w:type="dxa"/>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按时完成</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指标1：控制成本</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成本经费内完成</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成本经费内完成</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指标1：控制成本</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成本经费内完成</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成本经费内完成</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sz w:val="18"/>
                <w:szCs w:val="18"/>
              </w:rPr>
              <w:t>社会工作专业性得到认可</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社会认可度较高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社会认可度较高　</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sz w:val="18"/>
                <w:szCs w:val="18"/>
              </w:rPr>
              <w:t>社会工作专业性得到认可</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社会认可度较高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社会认可度较高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指标1：社会工作的社会认同感增强，</w:t>
            </w:r>
            <w:r>
              <w:rPr>
                <w:rFonts w:hint="eastAsia" w:ascii="宋体" w:hAnsi="宋体" w:cs="宋体"/>
                <w:color w:val="000000"/>
                <w:kern w:val="0"/>
                <w:sz w:val="18"/>
                <w:szCs w:val="18"/>
              </w:rPr>
              <w:t>对提高社会工作服务的影响成效显著</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成效显著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成效显著　</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指标1：社会工作的社会认同感增强，</w:t>
            </w:r>
            <w:r>
              <w:rPr>
                <w:rFonts w:hint="eastAsia" w:ascii="宋体" w:hAnsi="宋体" w:cs="宋体"/>
                <w:color w:val="000000"/>
                <w:kern w:val="0"/>
                <w:sz w:val="18"/>
                <w:szCs w:val="18"/>
              </w:rPr>
              <w:t>对提高社会工作服务的影响成效显著</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成效显著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成效显著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 xml:space="preserve"> 指标1：服务对象满意度</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满意度</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≥90%</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18"/>
                <w:szCs w:val="18"/>
              </w:rPr>
            </w:pPr>
            <w:r>
              <w:rPr>
                <w:rFonts w:hint="eastAsia"/>
                <w:sz w:val="18"/>
                <w:szCs w:val="18"/>
              </w:rPr>
              <w:t>服务对</w:t>
            </w:r>
          </w:p>
          <w:p>
            <w:pPr>
              <w:jc w:val="center"/>
              <w:rPr>
                <w:sz w:val="18"/>
                <w:szCs w:val="18"/>
              </w:rPr>
            </w:pPr>
            <w:r>
              <w:rPr>
                <w:rFonts w:hint="eastAsia"/>
                <w:sz w:val="18"/>
                <w:szCs w:val="18"/>
              </w:rPr>
              <w:t>象满意</w:t>
            </w:r>
          </w:p>
          <w:p>
            <w:pPr>
              <w:jc w:val="center"/>
              <w:rPr>
                <w:rFonts w:ascii="宋体" w:hAnsi="宋体" w:cs="宋体"/>
                <w:sz w:val="18"/>
                <w:szCs w:val="18"/>
              </w:rPr>
            </w:pPr>
            <w:r>
              <w:rPr>
                <w:rFonts w:hint="eastAsia"/>
                <w:sz w:val="18"/>
                <w:szCs w:val="18"/>
              </w:rPr>
              <w:t>度指标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 xml:space="preserve"> 指标1：服务对象满意度</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满意度</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≥90%</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6.</w:t>
      </w:r>
      <w:r>
        <w:rPr>
          <w:rFonts w:hint="eastAsia" w:ascii="仿宋_GB2312" w:hAnsi="楷体" w:eastAsia="仿宋_GB2312"/>
          <w:b/>
          <w:sz w:val="32"/>
          <w:szCs w:val="32"/>
        </w:rPr>
        <w:t>“</w:t>
      </w:r>
      <w:r>
        <w:rPr>
          <w:rFonts w:hint="eastAsia" w:ascii="仿宋_GB2312" w:hAnsi="楷体" w:eastAsia="仿宋_GB2312"/>
          <w:b/>
          <w:sz w:val="32"/>
          <w:szCs w:val="32"/>
          <w:lang w:eastAsia="zh-CN"/>
        </w:rPr>
        <w:t>养老服务体系建设专项经费</w:t>
      </w:r>
      <w:r>
        <w:rPr>
          <w:rFonts w:hint="eastAsia" w:ascii="仿宋_GB2312" w:hAnsi="楷体" w:eastAsia="仿宋_GB2312"/>
          <w:b/>
          <w:sz w:val="32"/>
          <w:szCs w:val="32"/>
        </w:rPr>
        <w:t>”项目。</w:t>
      </w:r>
    </w:p>
    <w:p>
      <w:pPr>
        <w:adjustRightInd w:val="0"/>
        <w:snapToGrid w:val="0"/>
        <w:spacing w:line="600" w:lineRule="exact"/>
        <w:ind w:firstLine="640" w:firstLineChars="200"/>
        <w:rPr>
          <w:rFonts w:hint="default" w:eastAsia="仿宋_GB2312"/>
          <w:color w:val="000000"/>
          <w:sz w:val="32"/>
          <w:szCs w:val="32"/>
          <w:lang w:val="en-US"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：养老服务体系建设</w:t>
      </w:r>
      <w:r>
        <w:rPr>
          <w:rFonts w:hint="eastAsia" w:eastAsia="仿宋_GB2312"/>
          <w:color w:val="000000"/>
          <w:sz w:val="32"/>
          <w:szCs w:val="32"/>
          <w:lang w:val="en-US" w:eastAsia="zh-CN"/>
        </w:rPr>
        <w:t>工作经费，主要负责养老服务设施建设管理，外出招商学习、举办养老服务工作会议</w:t>
      </w:r>
      <w:r>
        <w:rPr>
          <w:rFonts w:hint="eastAsia" w:eastAsia="仿宋_GB2312"/>
          <w:color w:val="auto"/>
          <w:sz w:val="32"/>
          <w:szCs w:val="32"/>
          <w:lang w:val="en-US" w:eastAsia="zh-CN"/>
        </w:rPr>
        <w:t>等。</w:t>
      </w:r>
    </w:p>
    <w:p>
      <w:pPr>
        <w:numPr>
          <w:ilvl w:val="0"/>
          <w:numId w:val="0"/>
        </w:numPr>
        <w:adjustRightInd w:val="0"/>
        <w:snapToGrid w:val="0"/>
        <w:spacing w:line="600" w:lineRule="exact"/>
        <w:ind w:left="210" w:leftChars="0" w:firstLine="640" w:firstLineChars="0"/>
        <w:rPr>
          <w:rFonts w:hint="eastAsia" w:ascii="仿宋_GB2312" w:hAnsi="楷体" w:eastAsia="仿宋_GB2312"/>
          <w:color w:val="auto"/>
          <w:sz w:val="32"/>
          <w:szCs w:val="32"/>
        </w:rPr>
      </w:pPr>
      <w:r>
        <w:rPr>
          <w:rFonts w:hint="eastAsia" w:ascii="仿宋_GB2312" w:hAnsi="楷体" w:eastAsia="仿宋_GB2312" w:cstheme="minorBidi"/>
          <w:color w:val="auto"/>
          <w:kern w:val="2"/>
          <w:sz w:val="32"/>
          <w:szCs w:val="32"/>
          <w:lang w:val="en-US" w:eastAsia="zh-CN" w:bidi="ar-SA"/>
        </w:rPr>
        <w:t>（2）</w:t>
      </w:r>
      <w:r>
        <w:rPr>
          <w:rFonts w:hint="eastAsia" w:ascii="仿宋_GB2312" w:hAnsi="楷体" w:eastAsia="仿宋_GB2312"/>
          <w:sz w:val="32"/>
          <w:szCs w:val="32"/>
        </w:rPr>
        <w:t>立项依据</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为民生工程任务。</w:t>
      </w:r>
      <w:r>
        <w:rPr>
          <w:rFonts w:hint="eastAsia" w:ascii="仿宋_GB2312" w:hAnsi="楷体" w:eastAsia="仿宋_GB2312"/>
          <w:sz w:val="32"/>
          <w:szCs w:val="32"/>
          <w:lang w:eastAsia="zh-CN"/>
        </w:rPr>
        <w:t>1.淮民社救〔2022〕5号：关于印发《淮北市城乡居民最低生活保障实施方案》等七项民生工程实施方案的通知2.淮民办〔2021〕50号：淮北市“十四五”养老服务发展规划</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.皖民福字〔2018〕63号：《安徽省城乡养老服务三级中心建设指导规范（试行）》</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民政部 财政部 《关于确定第三批中央财政支持开展居家和社区养老服务改革试点地区的》（民函〔2018〕80号）</w:t>
      </w:r>
    </w:p>
    <w:p>
      <w:pPr>
        <w:numPr>
          <w:ilvl w:val="0"/>
          <w:numId w:val="0"/>
        </w:numPr>
        <w:adjustRightInd w:val="0"/>
        <w:snapToGrid w:val="0"/>
        <w:spacing w:line="600" w:lineRule="exact"/>
        <w:ind w:left="210" w:leftChars="0" w:firstLine="640" w:firstLineChars="0"/>
        <w:rPr>
          <w:rFonts w:hint="eastAsia" w:ascii="仿宋_GB2312" w:hAnsi="楷体" w:eastAsia="仿宋_GB2312"/>
          <w:color w:val="auto"/>
          <w:sz w:val="32"/>
          <w:szCs w:val="32"/>
        </w:rPr>
      </w:pPr>
      <w:r>
        <w:rPr>
          <w:rFonts w:hint="eastAsia" w:ascii="仿宋_GB2312" w:hAnsi="楷体" w:eastAsia="仿宋_GB2312" w:cstheme="minorBidi"/>
          <w:color w:val="auto"/>
          <w:kern w:val="2"/>
          <w:sz w:val="32"/>
          <w:szCs w:val="32"/>
          <w:lang w:val="en-US" w:eastAsia="zh-CN" w:bidi="ar-SA"/>
        </w:rPr>
        <w:t>（3）</w:t>
      </w:r>
      <w:r>
        <w:rPr>
          <w:rFonts w:hint="eastAsia" w:ascii="仿宋_GB2312" w:hAnsi="楷体" w:eastAsia="仿宋_GB2312"/>
          <w:sz w:val="32"/>
          <w:szCs w:val="32"/>
        </w:rPr>
        <w:t>实施主体</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养老服务科</w:t>
      </w:r>
    </w:p>
    <w:p>
      <w:pPr>
        <w:numPr>
          <w:ilvl w:val="0"/>
          <w:numId w:val="0"/>
        </w:numPr>
        <w:adjustRightInd w:val="0"/>
        <w:snapToGrid w:val="0"/>
        <w:spacing w:line="600" w:lineRule="exact"/>
        <w:ind w:left="210" w:leftChars="0" w:firstLine="640" w:firstLineChars="0"/>
        <w:rPr>
          <w:rFonts w:hint="eastAsia" w:ascii="仿宋_GB2312" w:hAnsi="楷体" w:eastAsia="仿宋_GB2312"/>
          <w:sz w:val="32"/>
          <w:szCs w:val="32"/>
        </w:rPr>
      </w:pPr>
      <w:r>
        <w:rPr>
          <w:rFonts w:hint="eastAsia" w:ascii="仿宋_GB2312" w:hAnsi="楷体" w:eastAsia="仿宋_GB2312" w:cstheme="minorBidi"/>
          <w:kern w:val="2"/>
          <w:sz w:val="32"/>
          <w:szCs w:val="32"/>
          <w:lang w:val="en-US" w:eastAsia="zh-CN" w:bidi="ar-SA"/>
        </w:rPr>
        <w:t>（4）</w:t>
      </w:r>
      <w:r>
        <w:rPr>
          <w:rFonts w:hint="eastAsia" w:ascii="仿宋_GB2312" w:hAnsi="楷体" w:eastAsia="仿宋_GB2312"/>
          <w:sz w:val="32"/>
          <w:szCs w:val="32"/>
        </w:rPr>
        <w:t>起止时间</w:t>
      </w:r>
      <w:r>
        <w:rPr>
          <w:rFonts w:hint="eastAsia" w:ascii="仿宋_GB2312" w:hAnsi="楷体" w:eastAsia="仿宋_GB2312"/>
          <w:sz w:val="32"/>
          <w:szCs w:val="32"/>
          <w:lang w:eastAsia="zh-CN"/>
        </w:rPr>
        <w:t>：</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w:t>
      </w:r>
      <w:r>
        <w:rPr>
          <w:rFonts w:hint="eastAsia" w:ascii="仿宋_GB2312" w:hAnsi="仿宋" w:eastAsia="仿宋_GB2312" w:cstheme="minorBidi"/>
          <w:kern w:val="2"/>
          <w:sz w:val="32"/>
          <w:szCs w:val="32"/>
          <w:lang w:val="en-US" w:eastAsia="zh-CN" w:bidi="ar-SA"/>
        </w:rPr>
        <w:t>5</w:t>
      </w:r>
      <w:r>
        <w:rPr>
          <w:rFonts w:hint="default" w:ascii="仿宋_GB2312" w:hAnsi="仿宋" w:eastAsia="仿宋_GB2312" w:cstheme="minorBidi"/>
          <w:kern w:val="2"/>
          <w:sz w:val="32"/>
          <w:szCs w:val="32"/>
          <w:lang w:val="en-US" w:eastAsia="zh-CN" w:bidi="ar-SA"/>
        </w:rPr>
        <w:t>）</w:t>
      </w:r>
      <w:r>
        <w:rPr>
          <w:rFonts w:hint="eastAsia" w:ascii="仿宋_GB2312" w:hAnsi="楷体" w:eastAsia="仿宋_GB2312"/>
          <w:sz w:val="32"/>
          <w:szCs w:val="32"/>
        </w:rPr>
        <w:t>项目内容</w:t>
      </w:r>
      <w:r>
        <w:rPr>
          <w:rFonts w:hint="eastAsia" w:ascii="仿宋_GB2312" w:hAnsi="楷体" w:eastAsia="仿宋_GB2312"/>
          <w:sz w:val="32"/>
          <w:szCs w:val="32"/>
          <w:lang w:eastAsia="zh-CN"/>
        </w:rPr>
        <w:t>：进一步深化养老服务业综合改革，完善居家和社区养老服务体系，创新居家和社区养老服务新模式。</w:t>
      </w:r>
    </w:p>
    <w:p>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w:t>
      </w:r>
      <w:r>
        <w:rPr>
          <w:rFonts w:hint="eastAsia" w:ascii="仿宋_GB2312" w:hAnsi="仿宋" w:eastAsia="仿宋_GB2312" w:cstheme="minorBidi"/>
          <w:kern w:val="2"/>
          <w:sz w:val="32"/>
          <w:szCs w:val="32"/>
          <w:lang w:val="en-US" w:eastAsia="zh-CN" w:bidi="ar-SA"/>
        </w:rPr>
        <w:t>6</w:t>
      </w:r>
      <w:r>
        <w:rPr>
          <w:rFonts w:hint="default" w:ascii="仿宋_GB2312" w:hAnsi="仿宋" w:eastAsia="仿宋_GB2312" w:cstheme="minorBidi"/>
          <w:kern w:val="2"/>
          <w:sz w:val="32"/>
          <w:szCs w:val="32"/>
          <w:lang w:val="en-US" w:eastAsia="zh-CN" w:bidi="ar-SA"/>
        </w:rPr>
        <w:t>）</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w:t>
      </w:r>
      <w:r>
        <w:rPr>
          <w:rFonts w:hint="eastAsia" w:ascii="仿宋_GB2312" w:hAnsi="仿宋" w:eastAsia="仿宋_GB2312"/>
          <w:sz w:val="32"/>
          <w:szCs w:val="32"/>
          <w:lang w:val="en-US" w:eastAsia="zh-CN"/>
        </w:rPr>
        <w:t>7万元</w:t>
      </w:r>
    </w:p>
    <w:p>
      <w:pPr>
        <w:adjustRightInd w:val="0"/>
        <w:snapToGrid w:val="0"/>
        <w:spacing w:line="600" w:lineRule="exact"/>
        <w:ind w:firstLine="960" w:firstLineChars="300"/>
        <w:rPr>
          <w:rFonts w:hint="eastAsia" w:ascii="仿宋_GB2312" w:hAnsi="楷体" w:eastAsia="仿宋_GB2312"/>
          <w:sz w:val="32"/>
          <w:szCs w:val="32"/>
          <w:lang w:eastAsia="zh-CN"/>
        </w:rPr>
      </w:pPr>
      <w:r>
        <w:rPr>
          <w:rFonts w:hint="eastAsia" w:ascii="仿宋_GB2312" w:hAnsi="楷体" w:eastAsia="仿宋_GB2312"/>
          <w:sz w:val="32"/>
          <w:szCs w:val="32"/>
        </w:rPr>
        <w:t>（</w:t>
      </w:r>
      <w:r>
        <w:rPr>
          <w:rFonts w:hint="eastAsia" w:ascii="仿宋_GB2312" w:hAnsi="楷体" w:eastAsia="仿宋_GB2312"/>
          <w:sz w:val="32"/>
          <w:szCs w:val="32"/>
          <w:lang w:val="en-US" w:eastAsia="zh-CN"/>
        </w:rPr>
        <w:t>7</w:t>
      </w:r>
      <w:r>
        <w:rPr>
          <w:rFonts w:hint="eastAsia" w:ascii="仿宋_GB2312" w:hAnsi="楷体" w:eastAsia="仿宋_GB2312"/>
          <w:sz w:val="32"/>
          <w:szCs w:val="32"/>
        </w:rPr>
        <w:t>）绩效目标</w:t>
      </w:r>
      <w:r>
        <w:rPr>
          <w:rFonts w:hint="eastAsia" w:ascii="仿宋_GB2312" w:hAnsi="楷体" w:eastAsia="仿宋_GB2312"/>
          <w:sz w:val="32"/>
          <w:szCs w:val="32"/>
          <w:lang w:eastAsia="zh-CN"/>
        </w:rPr>
        <w:t>：构建养老服务体系，提升养老服务设施</w:t>
      </w:r>
      <w:r>
        <w:rPr>
          <w:rFonts w:hint="eastAsia" w:ascii="仿宋_GB2312" w:hAnsi="楷体" w:eastAsia="仿宋_GB2312"/>
          <w:sz w:val="32"/>
          <w:szCs w:val="32"/>
          <w:lang w:val="en-US" w:eastAsia="zh-CN"/>
        </w:rPr>
        <w:t>，加强我市养老服务体系建设。</w:t>
      </w:r>
    </w:p>
    <w:tbl>
      <w:tblPr>
        <w:tblStyle w:val="10"/>
        <w:tblW w:w="9091" w:type="dxa"/>
        <w:tblInd w:w="93" w:type="dxa"/>
        <w:tblLayout w:type="fixed"/>
        <w:tblCellMar>
          <w:top w:w="0" w:type="dxa"/>
          <w:left w:w="108" w:type="dxa"/>
          <w:bottom w:w="0" w:type="dxa"/>
          <w:right w:w="108" w:type="dxa"/>
        </w:tblCellMar>
      </w:tblPr>
      <w:tblGrid>
        <w:gridCol w:w="416"/>
        <w:gridCol w:w="820"/>
        <w:gridCol w:w="940"/>
        <w:gridCol w:w="2000"/>
        <w:gridCol w:w="715"/>
        <w:gridCol w:w="795"/>
        <w:gridCol w:w="840"/>
        <w:gridCol w:w="1335"/>
        <w:gridCol w:w="525"/>
        <w:gridCol w:w="705"/>
      </w:tblGrid>
      <w:tr>
        <w:tblPrEx>
          <w:tblCellMar>
            <w:top w:w="0" w:type="dxa"/>
            <w:left w:w="108" w:type="dxa"/>
            <w:bottom w:w="0" w:type="dxa"/>
            <w:right w:w="108" w:type="dxa"/>
          </w:tblCellMar>
        </w:tblPrEx>
        <w:trPr>
          <w:trHeight w:val="360" w:hRule="atLeast"/>
        </w:trPr>
        <w:tc>
          <w:tcPr>
            <w:tcW w:w="9091" w:type="dxa"/>
            <w:gridSpan w:val="10"/>
            <w:tcBorders>
              <w:top w:val="nil"/>
              <w:left w:val="nil"/>
              <w:bottom w:val="nil"/>
              <w:right w:val="nil"/>
            </w:tcBorders>
            <w:noWrap w:val="0"/>
            <w:vAlign w:val="center"/>
          </w:tcPr>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91"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855" w:type="dxa"/>
            <w:gridSpan w:val="8"/>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养老服务体系建设专项经费</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855"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auto"/>
                <w:sz w:val="20"/>
                <w:szCs w:val="20"/>
              </w:rPr>
              <w:t>养老服务科</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855"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510"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3.5</w:t>
            </w:r>
          </w:p>
        </w:tc>
        <w:tc>
          <w:tcPr>
            <w:tcW w:w="2175"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30"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7</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510"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3.5</w:t>
            </w:r>
          </w:p>
        </w:tc>
        <w:tc>
          <w:tcPr>
            <w:tcW w:w="2175"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30"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7</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510"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2175"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30"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270"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w:t>
            </w:r>
          </w:p>
        </w:tc>
        <w:tc>
          <w:tcPr>
            <w:tcW w:w="3405"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270" w:type="dxa"/>
            <w:gridSpan w:val="5"/>
            <w:tcBorders>
              <w:top w:val="single" w:color="auto" w:sz="4" w:space="0"/>
              <w:left w:val="nil"/>
              <w:bottom w:val="single" w:color="auto" w:sz="4" w:space="0"/>
              <w:right w:val="nil"/>
            </w:tcBorders>
            <w:noWrap w:val="0"/>
            <w:vAlign w:val="top"/>
          </w:tcPr>
          <w:p>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构建养老服务体系，提升养老服务设施，加强我市养老服务体系建设。</w:t>
            </w:r>
          </w:p>
        </w:tc>
        <w:tc>
          <w:tcPr>
            <w:tcW w:w="3405"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ascii="宋体" w:hAnsi="宋体" w:cs="宋体"/>
                <w:sz w:val="20"/>
                <w:szCs w:val="20"/>
                <w:lang w:eastAsia="zh-CN"/>
              </w:rPr>
              <w:t>构建养老服务体系，提升养老服务设施</w:t>
            </w:r>
            <w:r>
              <w:rPr>
                <w:rFonts w:hint="eastAsia" w:ascii="宋体" w:hAnsi="宋体" w:cs="宋体"/>
                <w:sz w:val="20"/>
                <w:szCs w:val="20"/>
                <w:lang w:val="en-US" w:eastAsia="zh-CN"/>
              </w:rPr>
              <w:t>，加强我市养老服务体系建设。</w:t>
            </w:r>
          </w:p>
        </w:tc>
      </w:tr>
      <w:tr>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color w:val="auto"/>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构建养老服务体系，提升养老服务设施，加强我市养老服务体系建设。</w:t>
            </w:r>
          </w:p>
        </w:tc>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30</w:t>
            </w: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color w:val="auto"/>
                <w:sz w:val="20"/>
                <w:szCs w:val="20"/>
              </w:rPr>
            </w:pPr>
            <w:r>
              <w:rPr>
                <w:rFonts w:hint="eastAsia"/>
                <w:sz w:val="20"/>
                <w:szCs w:val="20"/>
              </w:rPr>
              <w:t>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kern w:val="2"/>
                <w:sz w:val="20"/>
                <w:szCs w:val="20"/>
                <w:lang w:val="en-US" w:eastAsia="zh-CN" w:bidi="ar-SA"/>
              </w:rPr>
            </w:pPr>
            <w:r>
              <w:rPr>
                <w:rFonts w:hint="default" w:ascii="宋体" w:hAnsi="宋体" w:eastAsia="宋体" w:cs="宋体"/>
                <w:color w:val="auto"/>
                <w:sz w:val="20"/>
                <w:szCs w:val="20"/>
                <w:lang w:val="en-US" w:eastAsia="zh-CN"/>
              </w:rPr>
              <w:t>构建养老服务体系，提升养老服务设施，加强我市养老服务体系建设。</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0"/>
                <w:szCs w:val="20"/>
              </w:rPr>
            </w:pPr>
            <w:r>
              <w:rPr>
                <w:rFonts w:hint="eastAsia" w:ascii="宋体" w:hAnsi="宋体" w:cs="宋体"/>
                <w:color w:val="auto"/>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default" w:ascii="宋体" w:hAnsi="宋体" w:eastAsia="宋体" w:cs="宋体"/>
                <w:sz w:val="20"/>
                <w:szCs w:val="20"/>
                <w:lang w:val="en-US" w:eastAsia="zh-CN"/>
              </w:rPr>
              <w:t>进一步提升我市养老服务质量</w:t>
            </w:r>
          </w:p>
        </w:tc>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进一步提升我市养老服务质量</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及时发放资金</w:t>
            </w:r>
          </w:p>
        </w:tc>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及时发放资金</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70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eastAsia="宋体" w:cs="宋体"/>
                <w:sz w:val="20"/>
                <w:szCs w:val="20"/>
                <w:lang w:eastAsia="zh-CN"/>
              </w:rPr>
              <w:t>构建养老服务体系，提升养老服务设施</w:t>
            </w:r>
            <w:r>
              <w:rPr>
                <w:rFonts w:hint="eastAsia" w:ascii="宋体" w:hAnsi="宋体" w:eastAsia="宋体" w:cs="宋体"/>
                <w:sz w:val="20"/>
                <w:szCs w:val="20"/>
                <w:lang w:val="en-US" w:eastAsia="zh-CN"/>
              </w:rPr>
              <w:t>，加强我市养老服务体系建设。</w:t>
            </w:r>
          </w:p>
        </w:tc>
        <w:tc>
          <w:tcPr>
            <w:tcW w:w="71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c>
          <w:tcPr>
            <w:tcW w:w="79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达成预期指标。</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kern w:val="2"/>
                <w:sz w:val="20"/>
                <w:szCs w:val="20"/>
                <w:lang w:val="en-US" w:eastAsia="zh-CN" w:bidi="ar-SA"/>
              </w:rPr>
            </w:pPr>
            <w:r>
              <w:rPr>
                <w:rFonts w:hint="eastAsia" w:ascii="宋体" w:hAnsi="宋体" w:eastAsia="宋体" w:cs="宋体"/>
                <w:sz w:val="20"/>
                <w:szCs w:val="20"/>
                <w:lang w:eastAsia="zh-CN"/>
              </w:rPr>
              <w:t>构建养老服务体系，提升养老服务设施</w:t>
            </w:r>
            <w:r>
              <w:rPr>
                <w:rFonts w:hint="eastAsia" w:ascii="宋体" w:hAnsi="宋体" w:eastAsia="宋体" w:cs="宋体"/>
                <w:sz w:val="20"/>
                <w:szCs w:val="20"/>
                <w:lang w:val="en-US" w:eastAsia="zh-CN"/>
              </w:rPr>
              <w:t>，加强我市养老服务体系建设。</w:t>
            </w:r>
          </w:p>
        </w:tc>
        <w:tc>
          <w:tcPr>
            <w:tcW w:w="525"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30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达成预期指标。</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养老服务体系不断完善，养老服务人才专业水平提升。</w:t>
            </w:r>
          </w:p>
        </w:tc>
        <w:tc>
          <w:tcPr>
            <w:tcW w:w="71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7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13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养老服务体系不断完善，养老服务人才专业水平提升。</w:t>
            </w:r>
          </w:p>
        </w:tc>
        <w:tc>
          <w:tcPr>
            <w:tcW w:w="525"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7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7.</w:t>
      </w:r>
      <w:r>
        <w:rPr>
          <w:rFonts w:hint="eastAsia" w:ascii="仿宋" w:hAnsi="仿宋" w:eastAsia="仿宋"/>
          <w:b/>
          <w:bCs/>
          <w:sz w:val="28"/>
          <w:szCs w:val="28"/>
        </w:rPr>
        <w:t>“困难群体慈善救助”项目</w:t>
      </w:r>
      <w:r>
        <w:rPr>
          <w:rFonts w:hint="eastAsia" w:ascii="仿宋_GB2312" w:hAnsi="楷体" w:eastAsia="仿宋_GB2312"/>
          <w:b/>
          <w:sz w:val="32"/>
          <w:szCs w:val="32"/>
        </w:rPr>
        <w:t>。</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据《安徽省人民政府关于促进慈善事业健康发展的实施意见》（皖政【2015】39号）要求，开展慈善助困、助学、助孤、助残、助老、赈灾等多方面的慈善救助。</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《中华人民共和国慈善法》办法、《善行安徽行动方案</w:t>
      </w:r>
      <w:r>
        <w:rPr>
          <w:rFonts w:hint="eastAsia" w:ascii="仿宋_GB2312" w:hAnsi="楷体" w:eastAsia="仿宋_GB2312"/>
          <w:sz w:val="32"/>
          <w:szCs w:val="32"/>
          <w:lang w:eastAsia="zh-CN"/>
        </w:rPr>
        <w:t>》《</w:t>
      </w:r>
      <w:r>
        <w:rPr>
          <w:rFonts w:hint="eastAsia" w:ascii="仿宋_GB2312" w:hAnsi="楷体" w:eastAsia="仿宋_GB2312"/>
          <w:sz w:val="32"/>
          <w:szCs w:val="32"/>
        </w:rPr>
        <w:t>淮北市人民政府关于加快推进慈善事业发展的意见</w:t>
      </w:r>
      <w:r>
        <w:rPr>
          <w:rFonts w:hint="eastAsia" w:ascii="仿宋_GB2312" w:hAnsi="楷体" w:eastAsia="仿宋_GB2312"/>
          <w:sz w:val="32"/>
          <w:szCs w:val="32"/>
          <w:lang w:eastAsia="zh-CN"/>
        </w:rPr>
        <w:t>》《</w:t>
      </w:r>
      <w:r>
        <w:rPr>
          <w:rFonts w:hint="eastAsia" w:ascii="仿宋_GB2312" w:hAnsi="楷体" w:eastAsia="仿宋_GB2312"/>
          <w:sz w:val="32"/>
          <w:szCs w:val="32"/>
        </w:rPr>
        <w:t>淮北市慈善协会章程</w:t>
      </w:r>
      <w:r>
        <w:rPr>
          <w:rFonts w:hint="eastAsia" w:ascii="仿宋_GB2312" w:hAnsi="楷体" w:eastAsia="仿宋_GB2312"/>
          <w:sz w:val="32"/>
          <w:szCs w:val="32"/>
          <w:lang w:eastAsia="zh-CN"/>
        </w:rPr>
        <w:t>》《</w:t>
      </w:r>
      <w:r>
        <w:rPr>
          <w:rFonts w:hint="eastAsia" w:ascii="仿宋_GB2312" w:hAnsi="楷体" w:eastAsia="仿宋_GB2312"/>
          <w:sz w:val="32"/>
          <w:szCs w:val="32"/>
        </w:rPr>
        <w:t>淮北市慈善协会资助款物管理及会费收取办法》。</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慈善救助是我市救助体系的重要组成部分，可以有效</w:t>
      </w:r>
      <w:r>
        <w:rPr>
          <w:rFonts w:hint="eastAsia" w:ascii="仿宋_GB2312" w:hAnsi="楷体" w:eastAsia="仿宋_GB2312"/>
          <w:sz w:val="32"/>
          <w:szCs w:val="32"/>
          <w:lang w:eastAsia="zh-CN"/>
        </w:rPr>
        <w:t>地</w:t>
      </w:r>
      <w:r>
        <w:rPr>
          <w:rFonts w:hint="eastAsia" w:ascii="仿宋_GB2312" w:hAnsi="楷体" w:eastAsia="仿宋_GB2312"/>
          <w:sz w:val="32"/>
          <w:szCs w:val="32"/>
        </w:rPr>
        <w:t>救助困难群众，促进</w:t>
      </w:r>
      <w:r>
        <w:rPr>
          <w:rFonts w:hint="eastAsia" w:ascii="仿宋_GB2312" w:hAnsi="楷体" w:eastAsia="仿宋_GB2312"/>
          <w:sz w:val="32"/>
          <w:szCs w:val="32"/>
          <w:lang w:eastAsia="zh-CN"/>
        </w:rPr>
        <w:t>社会和谐</w:t>
      </w:r>
      <w:r>
        <w:rPr>
          <w:rFonts w:hint="eastAsia" w:ascii="仿宋_GB2312" w:hAnsi="楷体" w:eastAsia="仿宋_GB2312"/>
          <w:sz w:val="32"/>
          <w:szCs w:val="32"/>
        </w:rPr>
        <w:t>稳定发展。</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（4）起止时间。</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2024年1月-2024年12月</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开展慈善助困、助学、助孤、助残、助老、赈灾等多方面的慈善救助。</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（6）年度预算安排。</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一是实施慈善助困“情暖万家”项目。慰问因病、因灾或遭遇意外不幸事故，导致家庭生活特别困难的城乡低保户、重点优抚对象等，今年出资30万元，爱心企业配套13万元慰问物资。二是实施“一帮一”助学项目。协会每年六一前，出资12万元对100名困难小学生每人每年资助1200元，帮助完成小学。三是实施慈善助医“阳光行动”。对患各种癌症的病人花费巨额医疗费用导致家庭生活特别困难的患者，每人一次性资助2000-3000元，帮助其战胜病魔，救助资金4万元。四是实施慈善助学“爱心圆梦大学”项目。协会每年和团市委联合开展“爱心圆梦大学”希望工程助学项目，协会出资6</w:t>
      </w:r>
      <w:r>
        <w:rPr>
          <w:rFonts w:hint="eastAsia" w:ascii="仿宋_GB2312" w:hAnsi="楷体" w:eastAsia="仿宋_GB2312"/>
          <w:sz w:val="32"/>
          <w:szCs w:val="32"/>
          <w:lang w:eastAsia="zh-CN"/>
        </w:rPr>
        <w:t>万元</w:t>
      </w:r>
      <w:r>
        <w:rPr>
          <w:rFonts w:hint="eastAsia" w:ascii="仿宋_GB2312" w:hAnsi="楷体" w:eastAsia="仿宋_GB2312"/>
          <w:sz w:val="32"/>
          <w:szCs w:val="32"/>
        </w:rPr>
        <w:t>。五是开展慈善助老“情暖夕阳”项目。协会每年九九重阳节前夕，开展助老、助残活动，慰问三区一县困难敬老院和百岁老人，发放慰问款8万元。合计需60万元救助款。协会将积极筹措慈善资金，鼓励市企事业单位、爱心人士参与品牌救助项目</w:t>
      </w:r>
      <w:r>
        <w:rPr>
          <w:rFonts w:hint="eastAsia" w:ascii="仿宋_GB2312" w:hAnsi="楷体" w:eastAsia="仿宋_GB2312"/>
          <w:sz w:val="32"/>
          <w:szCs w:val="32"/>
          <w:lang w:eastAsia="zh-CN"/>
        </w:rPr>
        <w:t>。</w:t>
      </w:r>
    </w:p>
    <w:tbl>
      <w:tblPr>
        <w:tblStyle w:val="10"/>
        <w:tblW w:w="9020" w:type="dxa"/>
        <w:tblInd w:w="93" w:type="dxa"/>
        <w:tblLayout w:type="fixed"/>
        <w:tblCellMar>
          <w:top w:w="0" w:type="dxa"/>
          <w:left w:w="108" w:type="dxa"/>
          <w:bottom w:w="0" w:type="dxa"/>
          <w:right w:w="108" w:type="dxa"/>
        </w:tblCellMar>
      </w:tblPr>
      <w:tblGrid>
        <w:gridCol w:w="582"/>
        <w:gridCol w:w="654"/>
        <w:gridCol w:w="940"/>
        <w:gridCol w:w="2000"/>
        <w:gridCol w:w="860"/>
        <w:gridCol w:w="791"/>
        <w:gridCol w:w="889"/>
        <w:gridCol w:w="1040"/>
        <w:gridCol w:w="764"/>
        <w:gridCol w:w="500"/>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adjustRightInd w:val="0"/>
              <w:snapToGrid w:val="0"/>
              <w:spacing w:line="600" w:lineRule="exact"/>
              <w:ind w:firstLine="640" w:firstLineChars="200"/>
              <w:rPr>
                <w:rFonts w:hint="eastAsia" w:ascii="仿宋" w:hAnsi="仿宋" w:eastAsia="仿宋"/>
                <w:b/>
                <w:bCs/>
                <w:sz w:val="28"/>
                <w:szCs w:val="28"/>
              </w:rPr>
            </w:pPr>
            <w:r>
              <w:rPr>
                <w:rFonts w:hint="eastAsia" w:ascii="仿宋_GB2312" w:hAnsi="楷体" w:eastAsia="仿宋_GB2312"/>
                <w:sz w:val="32"/>
                <w:szCs w:val="32"/>
              </w:rPr>
              <w:t>（7）绩效目标。</w:t>
            </w:r>
          </w:p>
          <w:p>
            <w:pPr>
              <w:jc w:val="center"/>
              <w:rPr>
                <w:rFonts w:ascii="仿宋" w:hAnsi="仿宋" w:eastAsia="仿宋" w:cs="宋体"/>
                <w:b/>
                <w:bCs/>
                <w:sz w:val="28"/>
                <w:szCs w:val="28"/>
              </w:rPr>
            </w:pPr>
            <w:r>
              <w:rPr>
                <w:rFonts w:hint="eastAsia" w:ascii="仿宋" w:hAnsi="仿宋" w:eastAsia="仿宋"/>
                <w:b/>
                <w:bCs/>
                <w:sz w:val="28"/>
                <w:szCs w:val="28"/>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（2024年度）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rPr>
                <w:rFonts w:ascii="宋体" w:hAnsi="宋体" w:cs="宋体"/>
                <w:color w:val="000000"/>
                <w:sz w:val="20"/>
                <w:szCs w:val="20"/>
              </w:rPr>
            </w:pPr>
            <w:r>
              <w:rPr>
                <w:rFonts w:hint="eastAsia"/>
                <w:color w:val="000000"/>
                <w:sz w:val="20"/>
                <w:szCs w:val="20"/>
              </w:rPr>
              <w:t>困难群体慈善救助</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color w:val="000000"/>
                <w:sz w:val="20"/>
                <w:szCs w:val="20"/>
              </w:rPr>
              <w:t>淮北市慈善协会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color w:val="000000"/>
                <w:sz w:val="20"/>
                <w:szCs w:val="20"/>
              </w:rPr>
              <w:t>延续项目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60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60　</w:t>
            </w:r>
          </w:p>
        </w:tc>
      </w:tr>
      <w:tr>
        <w:tblPrEx>
          <w:tblCellMar>
            <w:top w:w="0" w:type="dxa"/>
            <w:left w:w="108" w:type="dxa"/>
            <w:bottom w:w="0" w:type="dxa"/>
            <w:right w:w="108" w:type="dxa"/>
          </w:tblCellMar>
        </w:tblPrEx>
        <w:trPr>
          <w:trHeight w:val="421"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582"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245"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中期目标（2024年1月—2024年12）</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582"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245" w:type="dxa"/>
            <w:gridSpan w:val="5"/>
            <w:tcBorders>
              <w:top w:val="single" w:color="auto" w:sz="4" w:space="0"/>
              <w:left w:val="nil"/>
              <w:bottom w:val="single" w:color="auto" w:sz="4" w:space="0"/>
              <w:right w:val="nil"/>
            </w:tcBorders>
            <w:noWrap w:val="0"/>
            <w:vAlign w:val="top"/>
          </w:tcPr>
          <w:p>
            <w:pPr>
              <w:rPr>
                <w:rFonts w:ascii="宋体" w:hAnsi="宋体" w:cs="宋体"/>
                <w:sz w:val="20"/>
                <w:szCs w:val="20"/>
              </w:rPr>
            </w:pPr>
            <w:r>
              <w:rPr>
                <w:rFonts w:hint="eastAsia"/>
                <w:sz w:val="20"/>
                <w:szCs w:val="20"/>
              </w:rPr>
              <w:t xml:space="preserve"> 目标1：目标1：开展慈善助困、助老、助医、助学（一帮一）等多方面慈善救助工作，助医30*2000=6万，助困600*500=30万</w:t>
            </w:r>
            <w:r>
              <w:rPr>
                <w:rFonts w:hint="eastAsia"/>
                <w:sz w:val="20"/>
                <w:szCs w:val="20"/>
                <w:lang w:eastAsia="zh-CN"/>
              </w:rPr>
              <w:t>，</w:t>
            </w:r>
            <w:r>
              <w:rPr>
                <w:rFonts w:hint="eastAsia"/>
                <w:sz w:val="20"/>
                <w:szCs w:val="20"/>
              </w:rPr>
              <w:t>“</w:t>
            </w:r>
            <w:r>
              <w:rPr>
                <w:rFonts w:hint="eastAsia"/>
                <w:sz w:val="20"/>
                <w:szCs w:val="20"/>
                <w:lang w:val="en-US" w:eastAsia="zh-CN"/>
              </w:rPr>
              <w:t>巾帼</w:t>
            </w:r>
            <w:r>
              <w:rPr>
                <w:rFonts w:hint="eastAsia"/>
                <w:sz w:val="20"/>
                <w:szCs w:val="20"/>
              </w:rPr>
              <w:t>圆梦慈善护航” 关爱困境儿童200*1000=10万，助学（一帮一、圆梦大学）6万，助老助残（重阳节）活动慰问8万.合计60万元</w:t>
            </w:r>
            <w:r>
              <w:rPr>
                <w:rFonts w:hint="eastAsia"/>
                <w:sz w:val="20"/>
                <w:szCs w:val="20"/>
              </w:rPr>
              <w:br w:type="textWrapping"/>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sz w:val="20"/>
                <w:szCs w:val="20"/>
              </w:rPr>
              <w:t xml:space="preserve"> 目标1：按照文件要求完成慈善助困、助学、助老、助医等救助工作</w:t>
            </w:r>
            <w:r>
              <w:rPr>
                <w:rFonts w:hint="eastAsia"/>
                <w:sz w:val="20"/>
                <w:szCs w:val="20"/>
              </w:rPr>
              <w:br w:type="textWrapping"/>
            </w:r>
            <w:r>
              <w:rPr>
                <w:rFonts w:hint="eastAsia"/>
                <w:sz w:val="20"/>
                <w:szCs w:val="20"/>
              </w:rPr>
              <w:t xml:space="preserve"> 目标2：</w:t>
            </w:r>
            <w:r>
              <w:rPr>
                <w:rFonts w:hint="eastAsia"/>
                <w:sz w:val="20"/>
                <w:szCs w:val="20"/>
              </w:rPr>
              <w:br w:type="textWrapping"/>
            </w:r>
            <w:r>
              <w:rPr>
                <w:rFonts w:hint="eastAsia"/>
                <w:sz w:val="20"/>
                <w:szCs w:val="20"/>
              </w:rPr>
              <w:t xml:space="preserve"> ……</w:t>
            </w:r>
          </w:p>
        </w:tc>
      </w:tr>
      <w:tr>
        <w:tblPrEx>
          <w:tblCellMar>
            <w:top w:w="0" w:type="dxa"/>
            <w:left w:w="108" w:type="dxa"/>
            <w:bottom w:w="0" w:type="dxa"/>
            <w:right w:w="108" w:type="dxa"/>
          </w:tblCellMar>
        </w:tblPrEx>
        <w:trPr>
          <w:trHeight w:val="830" w:hRule="atLeast"/>
        </w:trPr>
        <w:tc>
          <w:tcPr>
            <w:tcW w:w="582"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654"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76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50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指标1：春节救助困难群众800人，助医30人，助学100人</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及时 公示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指标1：春节救助困难群众800人，助医20人</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完成</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指标1：确保年内完成各项救助工作</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指标1：确保年内完成各项救助工作</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完成</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指标1：加大宣传力度，通过媒体交流合作，由网络、报纸共同宣传平台</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指标1：100%全年</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完成</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指标1：慈善救助</w:t>
            </w:r>
            <w:r>
              <w:rPr>
                <w:rFonts w:hint="eastAsia"/>
                <w:sz w:val="20"/>
                <w:szCs w:val="20"/>
                <w:lang w:eastAsia="zh-CN"/>
              </w:rPr>
              <w:t>困难群众</w:t>
            </w:r>
            <w:r>
              <w:rPr>
                <w:rFonts w:hint="eastAsia"/>
                <w:sz w:val="20"/>
                <w:szCs w:val="20"/>
              </w:rPr>
              <w:t>工作经费60万</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指标1：慈善救助</w:t>
            </w:r>
            <w:r>
              <w:rPr>
                <w:rFonts w:hint="eastAsia"/>
                <w:sz w:val="20"/>
                <w:szCs w:val="20"/>
                <w:lang w:eastAsia="zh-CN"/>
              </w:rPr>
              <w:t>困难群众</w:t>
            </w:r>
            <w:r>
              <w:rPr>
                <w:rFonts w:hint="eastAsia"/>
                <w:sz w:val="20"/>
                <w:szCs w:val="20"/>
              </w:rPr>
              <w:t>工作经费60万</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完成</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sz w:val="20"/>
                <w:szCs w:val="20"/>
                <w:lang w:eastAsia="zh-CN"/>
              </w:rPr>
              <w:t>：</w:t>
            </w:r>
            <w:r>
              <w:rPr>
                <w:rFonts w:hint="eastAsia"/>
                <w:sz w:val="20"/>
                <w:szCs w:val="20"/>
              </w:rPr>
              <w:t>确保各项慈善活动规范有序，扩展渠道募捐，为开展更广泛的救助打下基础</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完成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指标1：确保各项慈善活动规范有序，扩展渠道募捐，为开展更广泛的救助打下基础</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完成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指标1：发动社会力量，特别是新型冠状病毒防控及河南赈灾时期，筹募款物，帮助更多的弱势群体</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指标1：完善慈善组织，拓展合作领域</w:t>
            </w:r>
            <w:r>
              <w:rPr>
                <w:rFonts w:ascii="宋体" w:hAnsi="宋体" w:cs="宋体"/>
                <w:sz w:val="20"/>
                <w:szCs w:val="20"/>
              </w:rPr>
              <w:t xml:space="preserve"> </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完成</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pPr>
              <w:rPr>
                <w:rFonts w:hint="eastAsia"/>
                <w:sz w:val="20"/>
                <w:szCs w:val="20"/>
              </w:rPr>
            </w:pPr>
            <w:r>
              <w:rPr>
                <w:rFonts w:hint="eastAsia"/>
                <w:sz w:val="20"/>
                <w:szCs w:val="20"/>
              </w:rPr>
              <w:t xml:space="preserve"> 指标1：建设</w:t>
            </w:r>
            <w:r>
              <w:rPr>
                <w:rFonts w:hint="eastAsia"/>
                <w:sz w:val="20"/>
                <w:szCs w:val="20"/>
                <w:lang w:eastAsia="zh-CN"/>
              </w:rPr>
              <w:t>和谐社会</w:t>
            </w:r>
          </w:p>
          <w:p>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pPr>
              <w:rPr>
                <w:rFonts w:hint="eastAsia"/>
                <w:sz w:val="20"/>
                <w:szCs w:val="20"/>
              </w:rPr>
            </w:pPr>
            <w:r>
              <w:rPr>
                <w:rFonts w:hint="eastAsia"/>
                <w:sz w:val="20"/>
                <w:szCs w:val="20"/>
              </w:rPr>
              <w:t xml:space="preserve"> 指标1：建设</w:t>
            </w:r>
            <w:r>
              <w:rPr>
                <w:rFonts w:hint="eastAsia"/>
                <w:sz w:val="20"/>
                <w:szCs w:val="20"/>
                <w:lang w:eastAsia="zh-CN"/>
              </w:rPr>
              <w:t>和谐社会</w:t>
            </w:r>
          </w:p>
          <w:p>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p>
            <w:pPr>
              <w:rPr>
                <w:rFonts w:ascii="宋体" w:hAnsi="宋体" w:cs="宋体"/>
                <w:color w:val="000000"/>
                <w:sz w:val="20"/>
                <w:szCs w:val="20"/>
              </w:rPr>
            </w:pPr>
            <w:r>
              <w:rPr>
                <w:rFonts w:hint="eastAsia"/>
                <w:color w:val="000000"/>
                <w:sz w:val="20"/>
                <w:szCs w:val="20"/>
              </w:rPr>
              <w:t>支持“社会慈善、社会捐赠、群众互助”等社会扶助活动.2.慈善救助是政府实施扶贫攻坚的重要补充。扶贫攻坚需要慈善协会和各种组织共同参与，形成全社会共同</w:t>
            </w:r>
            <w:r>
              <w:rPr>
                <w:rFonts w:hint="eastAsia"/>
                <w:color w:val="000000"/>
                <w:sz w:val="20"/>
                <w:szCs w:val="20"/>
                <w:lang w:eastAsia="zh-CN"/>
              </w:rPr>
              <w:t>参与</w:t>
            </w:r>
            <w:r>
              <w:rPr>
                <w:rFonts w:hint="eastAsia"/>
                <w:color w:val="000000"/>
                <w:sz w:val="20"/>
                <w:szCs w:val="20"/>
              </w:rPr>
              <w:t>扶贫攻坚合力。3</w:t>
            </w:r>
            <w:r>
              <w:rPr>
                <w:rFonts w:hint="eastAsia"/>
                <w:color w:val="000000"/>
                <w:sz w:val="20"/>
                <w:szCs w:val="20"/>
                <w:lang w:eastAsia="zh-CN"/>
              </w:rPr>
              <w:t>有利</w:t>
            </w:r>
            <w:r>
              <w:rPr>
                <w:rFonts w:hint="eastAsia"/>
                <w:color w:val="000000"/>
                <w:sz w:val="20"/>
                <w:szCs w:val="20"/>
              </w:rPr>
              <w:t>发挥慈善协会贴近社会需求、帮助更多的困难群众。</w:t>
            </w:r>
          </w:p>
          <w:p>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完成</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永久</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100%</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pPr>
              <w:rPr>
                <w:rFonts w:ascii="宋体" w:hAnsi="宋体" w:cs="宋体"/>
                <w:sz w:val="20"/>
                <w:szCs w:val="20"/>
              </w:rPr>
            </w:pPr>
            <w:r>
              <w:rPr>
                <w:rFonts w:hint="eastAsia"/>
                <w:sz w:val="20"/>
                <w:szCs w:val="20"/>
              </w:rPr>
              <w:t>　</w:t>
            </w:r>
          </w:p>
        </w:tc>
        <w:tc>
          <w:tcPr>
            <w:tcW w:w="764" w:type="dxa"/>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p>
            <w:pPr>
              <w:rPr>
                <w:rFonts w:ascii="宋体" w:hAnsi="宋体" w:cs="宋体"/>
                <w:color w:val="000000"/>
                <w:sz w:val="20"/>
                <w:szCs w:val="20"/>
              </w:rPr>
            </w:pPr>
            <w:r>
              <w:rPr>
                <w:rFonts w:hint="eastAsia"/>
                <w:color w:val="000000"/>
                <w:sz w:val="20"/>
                <w:szCs w:val="20"/>
              </w:rPr>
              <w:t>通过宣传慈善理念，捐赠税收优惠政策以及所有信息公开透明，捐赠款物及时公布，受到群众满意。</w:t>
            </w:r>
          </w:p>
          <w:p>
            <w:pPr>
              <w:rPr>
                <w:rFonts w:ascii="宋体" w:hAnsi="宋体" w:cs="宋体"/>
                <w:sz w:val="20"/>
                <w:szCs w:val="20"/>
              </w:rPr>
            </w:pP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完成　</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color w:val="000000"/>
                <w:sz w:val="20"/>
                <w:szCs w:val="20"/>
              </w:rPr>
            </w:pPr>
            <w:r>
              <w:rPr>
                <w:rFonts w:hint="eastAsia"/>
                <w:sz w:val="20"/>
                <w:szCs w:val="20"/>
              </w:rPr>
              <w:t xml:space="preserve"> 指标1：</w:t>
            </w:r>
            <w:r>
              <w:rPr>
                <w:rFonts w:hint="eastAsia"/>
                <w:color w:val="000000"/>
                <w:sz w:val="20"/>
                <w:szCs w:val="20"/>
              </w:rPr>
              <w:t>100%</w:t>
            </w:r>
            <w:r>
              <w:rPr>
                <w:rFonts w:ascii="宋体" w:hAnsi="宋体" w:cs="宋体"/>
                <w:color w:val="000000"/>
                <w:sz w:val="20"/>
                <w:szCs w:val="20"/>
              </w:rPr>
              <w:t xml:space="preserve"> </w:t>
            </w:r>
          </w:p>
          <w:p>
            <w:pPr>
              <w:rPr>
                <w:rFonts w:ascii="宋体" w:hAnsi="宋体" w:cs="宋体"/>
                <w:sz w:val="20"/>
                <w:szCs w:val="20"/>
              </w:rPr>
            </w:pP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100%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p>
        </w:tc>
        <w:tc>
          <w:tcPr>
            <w:tcW w:w="7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582"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54"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94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　</w:t>
            </w:r>
          </w:p>
        </w:tc>
        <w:tc>
          <w:tcPr>
            <w:tcW w:w="889"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w:t>
            </w:r>
          </w:p>
        </w:tc>
        <w:tc>
          <w:tcPr>
            <w:tcW w:w="1040" w:type="dxa"/>
            <w:tcBorders>
              <w:top w:val="nil"/>
              <w:left w:val="nil"/>
              <w:bottom w:val="single" w:color="auto" w:sz="4" w:space="0"/>
              <w:right w:val="nil"/>
            </w:tcBorders>
            <w:noWrap w:val="0"/>
            <w:vAlign w:val="center"/>
          </w:tcPr>
          <w:p>
            <w:pPr>
              <w:rPr>
                <w:rFonts w:ascii="宋体" w:hAnsi="宋体" w:cs="宋体"/>
                <w:sz w:val="20"/>
                <w:szCs w:val="20"/>
              </w:rPr>
            </w:pPr>
            <w:r>
              <w:rPr>
                <w:rFonts w:hint="eastAsia"/>
                <w:sz w:val="20"/>
                <w:szCs w:val="20"/>
              </w:rPr>
              <w:t>　</w:t>
            </w:r>
          </w:p>
        </w:tc>
        <w:tc>
          <w:tcPr>
            <w:tcW w:w="764" w:type="dxa"/>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5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8.</w:t>
      </w:r>
      <w:r>
        <w:rPr>
          <w:rFonts w:hint="eastAsia" w:ascii="仿宋_GB2312" w:hAnsi="楷体" w:eastAsia="仿宋_GB2312"/>
          <w:b/>
          <w:sz w:val="32"/>
          <w:szCs w:val="32"/>
        </w:rPr>
        <w:t>“养老服务中心</w:t>
      </w:r>
      <w:r>
        <w:rPr>
          <w:rFonts w:hint="eastAsia" w:ascii="仿宋_GB2312" w:hAnsi="楷体" w:eastAsia="仿宋_GB2312"/>
          <w:b/>
          <w:sz w:val="32"/>
          <w:szCs w:val="32"/>
          <w:lang w:eastAsia="zh-CN"/>
        </w:rPr>
        <w:t>运营补贴</w:t>
      </w:r>
      <w:r>
        <w:rPr>
          <w:rFonts w:hint="eastAsia" w:ascii="仿宋_GB2312" w:hAnsi="楷体" w:eastAsia="仿宋_GB2312"/>
          <w:b/>
          <w:sz w:val="32"/>
          <w:szCs w:val="32"/>
        </w:rPr>
        <w:t>”项目。</w:t>
      </w:r>
    </w:p>
    <w:p>
      <w:pPr>
        <w:adjustRightInd w:val="0"/>
        <w:snapToGrid w:val="0"/>
        <w:spacing w:line="600" w:lineRule="exact"/>
        <w:ind w:firstLine="640" w:firstLineChars="200"/>
        <w:rPr>
          <w:rFonts w:hint="eastAsia" w:ascii="仿宋_GB2312" w:hAnsi="楷体" w:eastAsia="仿宋_GB2312"/>
          <w:color w:val="0000FF"/>
          <w:sz w:val="32"/>
          <w:szCs w:val="32"/>
          <w:lang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为优化三级养老服务中心运营，</w:t>
      </w:r>
      <w:r>
        <w:rPr>
          <w:rFonts w:hint="eastAsia" w:ascii="仿宋_GB2312" w:hAnsi="楷体" w:eastAsia="仿宋_GB2312"/>
          <w:sz w:val="32"/>
          <w:szCs w:val="32"/>
        </w:rPr>
        <w:t>对符合《安徽省城乡三级中心建设规范指导规范（试行）》的通知中符合县级养老服务指导中心的补助</w:t>
      </w:r>
      <w:r>
        <w:rPr>
          <w:rFonts w:hint="eastAsia" w:ascii="仿宋_GB2312" w:hAnsi="楷体" w:eastAsia="仿宋_GB2312"/>
          <w:sz w:val="32"/>
          <w:szCs w:val="32"/>
          <w:lang w:eastAsia="zh-CN"/>
        </w:rPr>
        <w:t>。</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（2）立项依据。该项目为民生工程项目，纳入省政府考核市政府的重点工作。</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民政部 财政部 《关于确定第三批中央财政支持开展居家和社区养老服务改革试点地区的》（民函〔2018〕80号）</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《关于做好社区居家养老服务三级中心建设工作的通知》（皖民福函〔2018〕161号）</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《安徽省构建多层次养老服务体系（2018—2020年）行动计划》（皖政办〔2018〕6号）</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淮北市居家和社区养老服务改革试点申报方案》（淮民福〔2018〕2号）5.皖民福字〔2018〕63号：《安徽省城乡养老服务三级中心建设指导规范（试行）》6.淮民社救〔2022〕5号：关于印发《淮北市城乡居民最低生活保障实施方案》等七项民生工程实施方案的通知。</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w:t>
      </w:r>
      <w:r>
        <w:rPr>
          <w:rFonts w:hint="eastAsia" w:ascii="仿宋_GB2312" w:hAnsi="楷体" w:eastAsia="仿宋_GB2312"/>
          <w:color w:val="auto"/>
          <w:sz w:val="32"/>
          <w:szCs w:val="32"/>
        </w:rPr>
        <w:t>养老服务科</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pPr>
        <w:adjustRightInd w:val="0"/>
        <w:snapToGrid w:val="0"/>
        <w:spacing w:line="600" w:lineRule="exact"/>
        <w:ind w:firstLine="640" w:firstLineChars="200"/>
        <w:rPr>
          <w:rFonts w:hint="eastAsia" w:ascii="仿宋_GB2312" w:hAnsi="楷体" w:eastAsia="仿宋_GB2312"/>
          <w:color w:val="auto"/>
          <w:sz w:val="32"/>
          <w:szCs w:val="32"/>
          <w:lang w:eastAsia="zh-CN"/>
        </w:rPr>
      </w:pPr>
      <w:r>
        <w:rPr>
          <w:rFonts w:hint="eastAsia" w:ascii="仿宋_GB2312" w:hAnsi="楷体" w:eastAsia="仿宋_GB2312"/>
          <w:sz w:val="32"/>
          <w:szCs w:val="32"/>
        </w:rPr>
        <w:t>（5）项目内容。</w:t>
      </w:r>
      <w:r>
        <w:rPr>
          <w:rFonts w:hint="eastAsia" w:ascii="仿宋_GB2312" w:hAnsi="楷体" w:eastAsia="仿宋_GB2312"/>
          <w:color w:val="auto"/>
          <w:sz w:val="32"/>
          <w:szCs w:val="32"/>
          <w:lang w:eastAsia="zh-CN"/>
        </w:rPr>
        <w:t>202</w:t>
      </w:r>
      <w:r>
        <w:rPr>
          <w:rFonts w:hint="eastAsia" w:ascii="仿宋_GB2312" w:hAnsi="楷体" w:eastAsia="仿宋_GB2312"/>
          <w:color w:val="auto"/>
          <w:sz w:val="32"/>
          <w:szCs w:val="32"/>
          <w:lang w:val="en-US" w:eastAsia="zh-CN"/>
        </w:rPr>
        <w:t>4</w:t>
      </w:r>
      <w:r>
        <w:rPr>
          <w:rFonts w:hint="eastAsia" w:ascii="仿宋_GB2312" w:hAnsi="楷体" w:eastAsia="仿宋_GB2312"/>
          <w:color w:val="auto"/>
          <w:sz w:val="32"/>
          <w:szCs w:val="32"/>
          <w:lang w:eastAsia="zh-CN"/>
        </w:rPr>
        <w:t>年要运营区级养老服务指导中心3个，街道19个，社区（</w:t>
      </w:r>
      <w:r>
        <w:rPr>
          <w:rFonts w:hint="eastAsia" w:ascii="仿宋_GB2312" w:hAnsi="楷体" w:eastAsia="仿宋_GB2312"/>
          <w:color w:val="auto"/>
          <w:sz w:val="32"/>
          <w:szCs w:val="32"/>
          <w:lang w:val="en-US" w:eastAsia="zh-CN"/>
        </w:rPr>
        <w:t>村）126</w:t>
      </w:r>
      <w:r>
        <w:rPr>
          <w:rFonts w:hint="eastAsia" w:ascii="仿宋_GB2312" w:hAnsi="楷体" w:eastAsia="仿宋_GB2312"/>
          <w:color w:val="auto"/>
          <w:sz w:val="32"/>
          <w:szCs w:val="32"/>
          <w:lang w:eastAsia="zh-CN"/>
        </w:rPr>
        <w:t>个。</w:t>
      </w:r>
    </w:p>
    <w:p>
      <w:pPr>
        <w:adjustRightInd w:val="0"/>
        <w:snapToGrid w:val="0"/>
        <w:spacing w:line="600" w:lineRule="exact"/>
        <w:ind w:firstLine="640" w:firstLineChars="200"/>
        <w:rPr>
          <w:rFonts w:hint="default" w:ascii="仿宋_GB2312" w:hAnsi="仿宋" w:eastAsia="仿宋_GB2312"/>
          <w:sz w:val="32"/>
          <w:szCs w:val="32"/>
          <w:lang w:val="en-US"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val="en-US" w:eastAsia="zh-CN"/>
        </w:rPr>
        <w:t>100万元。</w:t>
      </w:r>
    </w:p>
    <w:p>
      <w:pPr>
        <w:adjustRightInd w:val="0"/>
        <w:snapToGrid w:val="0"/>
        <w:spacing w:line="600" w:lineRule="exact"/>
        <w:ind w:firstLine="640" w:firstLineChars="200"/>
        <w:rPr>
          <w:rFonts w:hint="eastAsia" w:ascii="仿宋_GB2312" w:hAnsi="楷体" w:eastAsia="仿宋_GB2312"/>
          <w:color w:val="auto"/>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运营养老服务中心，提升为老服务水平，满足老年人养老需求</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1587"/>
        <w:gridCol w:w="660"/>
        <w:gridCol w:w="750"/>
        <w:gridCol w:w="870"/>
        <w:gridCol w:w="1650"/>
        <w:gridCol w:w="686"/>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养老服务中心</w:t>
            </w:r>
            <w:r>
              <w:rPr>
                <w:rFonts w:hint="eastAsia" w:ascii="宋体" w:hAnsi="宋体" w:cs="宋体"/>
                <w:color w:val="000000"/>
                <w:sz w:val="20"/>
                <w:szCs w:val="20"/>
                <w:lang w:eastAsia="zh-CN"/>
              </w:rPr>
              <w:t>运营补贴</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auto"/>
                <w:sz w:val="20"/>
                <w:szCs w:val="20"/>
              </w:rPr>
              <w:t>养老服务科</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587" w:type="dxa"/>
            <w:tcBorders>
              <w:top w:val="nil"/>
              <w:left w:val="nil"/>
              <w:bottom w:val="single" w:color="auto" w:sz="4" w:space="0"/>
              <w:right w:val="single" w:color="auto" w:sz="4" w:space="0"/>
            </w:tcBorders>
            <w:noWrap w:val="0"/>
            <w:vAlign w:val="center"/>
          </w:tcPr>
          <w:p>
            <w:pPr>
              <w:rPr>
                <w:rFonts w:ascii="宋体" w:hAnsi="宋体" w:cs="宋体"/>
                <w:color w:val="auto"/>
                <w:sz w:val="20"/>
                <w:szCs w:val="20"/>
              </w:rPr>
            </w:pPr>
            <w:r>
              <w:rPr>
                <w:rFonts w:hint="eastAsia"/>
                <w:color w:val="auto"/>
                <w:sz w:val="20"/>
                <w:szCs w:val="20"/>
              </w:rPr>
              <w:t xml:space="preserve"> 中期资金总额：</w:t>
            </w:r>
          </w:p>
        </w:tc>
        <w:tc>
          <w:tcPr>
            <w:tcW w:w="1410"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50</w:t>
            </w:r>
          </w:p>
        </w:tc>
        <w:tc>
          <w:tcPr>
            <w:tcW w:w="2520"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color w:val="auto"/>
                <w:sz w:val="20"/>
                <w:szCs w:val="20"/>
              </w:rPr>
            </w:pPr>
            <w:r>
              <w:rPr>
                <w:rFonts w:hint="eastAsia"/>
                <w:color w:val="auto"/>
                <w:sz w:val="20"/>
                <w:szCs w:val="20"/>
              </w:rPr>
              <w:t xml:space="preserve"> 年度资金总额：</w:t>
            </w:r>
          </w:p>
        </w:tc>
        <w:tc>
          <w:tcPr>
            <w:tcW w:w="1327"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1587" w:type="dxa"/>
            <w:tcBorders>
              <w:top w:val="nil"/>
              <w:left w:val="nil"/>
              <w:bottom w:val="single" w:color="auto" w:sz="4" w:space="0"/>
              <w:right w:val="single" w:color="auto" w:sz="4" w:space="0"/>
            </w:tcBorders>
            <w:noWrap w:val="0"/>
            <w:vAlign w:val="center"/>
          </w:tcPr>
          <w:p>
            <w:pPr>
              <w:rPr>
                <w:rFonts w:ascii="宋体" w:hAnsi="宋体" w:cs="宋体"/>
                <w:color w:val="auto"/>
                <w:sz w:val="20"/>
                <w:szCs w:val="20"/>
              </w:rPr>
            </w:pPr>
            <w:r>
              <w:rPr>
                <w:rFonts w:hint="eastAsia"/>
                <w:color w:val="auto"/>
                <w:sz w:val="20"/>
                <w:szCs w:val="20"/>
              </w:rPr>
              <w:t xml:space="preserve">   其中：财政拨款</w:t>
            </w:r>
          </w:p>
        </w:tc>
        <w:tc>
          <w:tcPr>
            <w:tcW w:w="1410"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50</w:t>
            </w:r>
          </w:p>
        </w:tc>
        <w:tc>
          <w:tcPr>
            <w:tcW w:w="2520"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color w:val="auto"/>
                <w:sz w:val="20"/>
                <w:szCs w:val="20"/>
              </w:rPr>
            </w:pPr>
            <w:r>
              <w:rPr>
                <w:rFonts w:hint="eastAsia"/>
                <w:color w:val="auto"/>
                <w:sz w:val="20"/>
                <w:szCs w:val="20"/>
              </w:rPr>
              <w:t xml:space="preserve">   其中：财政拨款</w:t>
            </w:r>
          </w:p>
        </w:tc>
        <w:tc>
          <w:tcPr>
            <w:tcW w:w="1327"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1587" w:type="dxa"/>
            <w:tcBorders>
              <w:top w:val="nil"/>
              <w:left w:val="nil"/>
              <w:bottom w:val="single" w:color="auto" w:sz="4" w:space="0"/>
              <w:right w:val="single" w:color="auto" w:sz="4" w:space="0"/>
            </w:tcBorders>
            <w:noWrap w:val="0"/>
            <w:vAlign w:val="center"/>
          </w:tcPr>
          <w:p>
            <w:pPr>
              <w:rPr>
                <w:rFonts w:ascii="宋体" w:hAnsi="宋体" w:cs="宋体"/>
                <w:color w:val="auto"/>
                <w:sz w:val="20"/>
                <w:szCs w:val="20"/>
              </w:rPr>
            </w:pPr>
            <w:r>
              <w:rPr>
                <w:rFonts w:hint="eastAsia"/>
                <w:color w:val="auto"/>
                <w:sz w:val="20"/>
                <w:szCs w:val="20"/>
              </w:rPr>
              <w:t xml:space="preserve">        其他资金</w:t>
            </w:r>
          </w:p>
        </w:tc>
        <w:tc>
          <w:tcPr>
            <w:tcW w:w="1410"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color w:val="auto"/>
                <w:sz w:val="20"/>
                <w:szCs w:val="20"/>
                <w:lang w:val="en-US" w:eastAsia="zh-CN"/>
              </w:rPr>
            </w:pPr>
          </w:p>
        </w:tc>
        <w:tc>
          <w:tcPr>
            <w:tcW w:w="2520"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color w:val="auto"/>
                <w:sz w:val="20"/>
                <w:szCs w:val="20"/>
              </w:rPr>
            </w:pPr>
            <w:r>
              <w:rPr>
                <w:rFonts w:hint="eastAsia"/>
                <w:color w:val="auto"/>
                <w:sz w:val="20"/>
                <w:szCs w:val="20"/>
              </w:rPr>
              <w:t xml:space="preserve">         其他资金</w:t>
            </w:r>
          </w:p>
        </w:tc>
        <w:tc>
          <w:tcPr>
            <w:tcW w:w="1327"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color w:val="auto"/>
                <w:sz w:val="20"/>
                <w:szCs w:val="20"/>
                <w:lang w:val="en-US" w:eastAsia="zh-CN"/>
              </w:rPr>
            </w:pP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757" w:type="dxa"/>
            <w:gridSpan w:val="5"/>
            <w:tcBorders>
              <w:top w:val="single" w:color="auto" w:sz="4" w:space="0"/>
              <w:left w:val="nil"/>
              <w:bottom w:val="single" w:color="auto" w:sz="4" w:space="0"/>
              <w:right w:val="nil"/>
            </w:tcBorders>
            <w:noWrap w:val="0"/>
            <w:vAlign w:val="center"/>
          </w:tcPr>
          <w:p>
            <w:pPr>
              <w:jc w:val="center"/>
              <w:rPr>
                <w:rFonts w:ascii="宋体" w:hAnsi="宋体" w:cs="宋体"/>
                <w:color w:val="auto"/>
                <w:sz w:val="20"/>
                <w:szCs w:val="20"/>
              </w:rPr>
            </w:pPr>
            <w:r>
              <w:rPr>
                <w:rFonts w:hint="eastAsia"/>
                <w:color w:val="auto"/>
                <w:sz w:val="20"/>
                <w:szCs w:val="20"/>
              </w:rPr>
              <w:t>中期目标</w:t>
            </w:r>
          </w:p>
        </w:tc>
        <w:tc>
          <w:tcPr>
            <w:tcW w:w="3847"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color w:val="auto"/>
                <w:sz w:val="20"/>
                <w:szCs w:val="20"/>
              </w:rPr>
            </w:pPr>
            <w:r>
              <w:rPr>
                <w:rFonts w:hint="eastAsia"/>
                <w:color w:val="auto"/>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4757" w:type="dxa"/>
            <w:gridSpan w:val="5"/>
            <w:tcBorders>
              <w:top w:val="single" w:color="auto" w:sz="4" w:space="0"/>
              <w:left w:val="nil"/>
              <w:bottom w:val="single" w:color="auto" w:sz="4" w:space="0"/>
              <w:right w:val="nil"/>
            </w:tcBorders>
            <w:noWrap w:val="0"/>
            <w:vAlign w:val="top"/>
          </w:tcPr>
          <w:p>
            <w:pPr>
              <w:rPr>
                <w:rFonts w:hint="default" w:ascii="宋体" w:hAnsi="宋体" w:eastAsia="宋体" w:cs="宋体"/>
                <w:color w:val="auto"/>
                <w:sz w:val="20"/>
                <w:szCs w:val="20"/>
                <w:lang w:val="en-US" w:eastAsia="zh-CN"/>
              </w:rPr>
            </w:pPr>
            <w:r>
              <w:rPr>
                <w:rFonts w:hint="default" w:ascii="宋体" w:hAnsi="宋体" w:eastAsia="宋体" w:cs="宋体"/>
                <w:color w:val="auto"/>
                <w:sz w:val="20"/>
                <w:szCs w:val="20"/>
                <w:lang w:val="en-US" w:eastAsia="zh-CN"/>
              </w:rPr>
              <w:t>运营区级养老服务指导中心3个，街道19个，社区</w:t>
            </w:r>
            <w:r>
              <w:rPr>
                <w:rFonts w:hint="eastAsia" w:ascii="宋体" w:hAnsi="宋体" w:cs="宋体"/>
                <w:color w:val="auto"/>
                <w:sz w:val="20"/>
                <w:szCs w:val="20"/>
                <w:lang w:val="en-US" w:eastAsia="zh-CN"/>
              </w:rPr>
              <w:t>126</w:t>
            </w:r>
            <w:r>
              <w:rPr>
                <w:rFonts w:hint="default" w:ascii="宋体" w:hAnsi="宋体" w:eastAsia="宋体" w:cs="宋体"/>
                <w:color w:val="auto"/>
                <w:sz w:val="20"/>
                <w:szCs w:val="20"/>
                <w:lang w:val="en-US" w:eastAsia="zh-CN"/>
              </w:rPr>
              <w:t>个。运营养老服务中心，提升为老服务水平，满足老年人养老需求。</w:t>
            </w:r>
          </w:p>
        </w:tc>
        <w:tc>
          <w:tcPr>
            <w:tcW w:w="3847"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color w:val="auto"/>
                <w:sz w:val="20"/>
                <w:szCs w:val="20"/>
              </w:rPr>
            </w:pPr>
            <w:r>
              <w:rPr>
                <w:rFonts w:hint="default" w:ascii="宋体" w:hAnsi="宋体" w:eastAsia="宋体" w:cs="宋体"/>
                <w:color w:val="auto"/>
                <w:sz w:val="20"/>
                <w:szCs w:val="20"/>
                <w:lang w:val="en-US" w:eastAsia="zh-CN"/>
              </w:rPr>
              <w:t>运营区级养老服务指导中心3个，街道19个，社区</w:t>
            </w:r>
            <w:r>
              <w:rPr>
                <w:rFonts w:hint="eastAsia" w:ascii="宋体" w:hAnsi="宋体" w:cs="宋体"/>
                <w:color w:val="auto"/>
                <w:sz w:val="20"/>
                <w:szCs w:val="20"/>
                <w:lang w:val="en-US" w:eastAsia="zh-CN"/>
              </w:rPr>
              <w:t>126</w:t>
            </w:r>
            <w:r>
              <w:rPr>
                <w:rFonts w:hint="default" w:ascii="宋体" w:hAnsi="宋体" w:eastAsia="宋体" w:cs="宋体"/>
                <w:color w:val="auto"/>
                <w:sz w:val="20"/>
                <w:szCs w:val="20"/>
                <w:lang w:val="en-US" w:eastAsia="zh-CN"/>
              </w:rPr>
              <w:t>个。运营养老服务中心，提升为老服务水平，满足老年人养老需求。</w:t>
            </w:r>
          </w:p>
        </w:tc>
      </w:tr>
      <w:tr>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68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0"/>
                <w:szCs w:val="20"/>
              </w:rPr>
            </w:pPr>
            <w:r>
              <w:rPr>
                <w:rFonts w:hint="eastAsia"/>
                <w:color w:val="auto"/>
                <w:sz w:val="20"/>
                <w:szCs w:val="20"/>
              </w:rPr>
              <w:t>数量</w:t>
            </w:r>
          </w:p>
          <w:p>
            <w:pPr>
              <w:jc w:val="center"/>
              <w:rPr>
                <w:rFonts w:ascii="宋体" w:hAnsi="宋体" w:cs="宋体"/>
                <w:color w:val="auto"/>
                <w:sz w:val="20"/>
                <w:szCs w:val="20"/>
              </w:rPr>
            </w:pPr>
            <w:r>
              <w:rPr>
                <w:rFonts w:hint="eastAsia"/>
                <w:color w:val="auto"/>
                <w:sz w:val="20"/>
                <w:szCs w:val="20"/>
              </w:rPr>
              <w:t>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kern w:val="2"/>
                <w:sz w:val="20"/>
                <w:szCs w:val="20"/>
                <w:lang w:val="en-US" w:eastAsia="zh-CN" w:bidi="ar-SA"/>
              </w:rPr>
            </w:pPr>
            <w:r>
              <w:rPr>
                <w:rFonts w:hint="default" w:ascii="宋体" w:hAnsi="宋体" w:eastAsia="宋体" w:cs="宋体"/>
                <w:color w:val="auto"/>
                <w:sz w:val="20"/>
                <w:szCs w:val="20"/>
                <w:lang w:val="en-US" w:eastAsia="zh-CN"/>
              </w:rPr>
              <w:t>运营区级养老服务指导中心3个，街道19个，社区</w:t>
            </w:r>
            <w:r>
              <w:rPr>
                <w:rFonts w:hint="eastAsia" w:ascii="宋体" w:hAnsi="宋体" w:cs="宋体"/>
                <w:color w:val="auto"/>
                <w:sz w:val="20"/>
                <w:szCs w:val="20"/>
                <w:lang w:val="en-US" w:eastAsia="zh-CN"/>
              </w:rPr>
              <w:t>126</w:t>
            </w:r>
            <w:r>
              <w:rPr>
                <w:rFonts w:hint="default" w:ascii="宋体" w:hAnsi="宋体" w:eastAsia="宋体" w:cs="宋体"/>
                <w:color w:val="auto"/>
                <w:sz w:val="20"/>
                <w:szCs w:val="20"/>
                <w:lang w:val="en-US" w:eastAsia="zh-CN"/>
              </w:rPr>
              <w:t>个。</w:t>
            </w:r>
          </w:p>
        </w:tc>
        <w:tc>
          <w:tcPr>
            <w:tcW w:w="6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30</w:t>
            </w:r>
          </w:p>
        </w:tc>
        <w:tc>
          <w:tcPr>
            <w:tcW w:w="75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sz w:val="20"/>
                <w:szCs w:val="20"/>
              </w:rPr>
            </w:pPr>
            <w:r>
              <w:rPr>
                <w:rFonts w:hint="eastAsia"/>
                <w:color w:val="auto"/>
                <w:sz w:val="20"/>
                <w:szCs w:val="20"/>
              </w:rPr>
              <w:t>数量</w:t>
            </w:r>
          </w:p>
          <w:p>
            <w:pPr>
              <w:jc w:val="center"/>
              <w:rPr>
                <w:rFonts w:ascii="宋体" w:hAnsi="宋体" w:cs="宋体"/>
                <w:color w:val="auto"/>
                <w:sz w:val="20"/>
                <w:szCs w:val="20"/>
              </w:rPr>
            </w:pPr>
            <w:r>
              <w:rPr>
                <w:rFonts w:hint="eastAsia"/>
                <w:color w:val="auto"/>
                <w:sz w:val="20"/>
                <w:szCs w:val="20"/>
              </w:rPr>
              <w:t>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b w:val="0"/>
                <w:bCs w:val="0"/>
                <w:color w:val="auto"/>
                <w:kern w:val="2"/>
                <w:sz w:val="20"/>
                <w:szCs w:val="20"/>
                <w:lang w:val="en-US" w:eastAsia="zh-CN" w:bidi="ar-SA"/>
              </w:rPr>
            </w:pPr>
            <w:r>
              <w:rPr>
                <w:rFonts w:hint="default" w:ascii="宋体" w:hAnsi="宋体" w:eastAsia="宋体" w:cs="宋体"/>
                <w:color w:val="auto"/>
                <w:sz w:val="20"/>
                <w:szCs w:val="20"/>
                <w:lang w:val="en-US" w:eastAsia="zh-CN"/>
              </w:rPr>
              <w:t>运营区级养老服务指导中心3个，街道19个，社区</w:t>
            </w:r>
            <w:r>
              <w:rPr>
                <w:rFonts w:hint="eastAsia" w:ascii="宋体" w:hAnsi="宋体" w:cs="宋体"/>
                <w:color w:val="auto"/>
                <w:sz w:val="20"/>
                <w:szCs w:val="20"/>
                <w:lang w:val="en-US" w:eastAsia="zh-CN"/>
              </w:rPr>
              <w:t>126</w:t>
            </w:r>
            <w:r>
              <w:rPr>
                <w:rFonts w:hint="default" w:ascii="宋体" w:hAnsi="宋体" w:eastAsia="宋体" w:cs="宋体"/>
                <w:color w:val="auto"/>
                <w:sz w:val="20"/>
                <w:szCs w:val="20"/>
                <w:lang w:val="en-US" w:eastAsia="zh-CN"/>
              </w:rPr>
              <w:t>个。</w:t>
            </w:r>
          </w:p>
        </w:tc>
        <w:tc>
          <w:tcPr>
            <w:tcW w:w="686"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0"/>
                <w:szCs w:val="20"/>
              </w:rPr>
            </w:pPr>
            <w:r>
              <w:rPr>
                <w:rFonts w:hint="eastAsia" w:ascii="宋体" w:hAnsi="宋体" w:cs="宋体"/>
                <w:color w:val="auto"/>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进一步提升我市养老服务质量</w:t>
            </w:r>
          </w:p>
        </w:tc>
        <w:tc>
          <w:tcPr>
            <w:tcW w:w="6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5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kern w:val="2"/>
                <w:sz w:val="20"/>
                <w:szCs w:val="20"/>
                <w:lang w:val="en-US" w:eastAsia="zh-CN" w:bidi="ar-SA"/>
              </w:rPr>
            </w:pPr>
            <w:r>
              <w:rPr>
                <w:rFonts w:hint="default" w:ascii="宋体" w:hAnsi="宋体" w:eastAsia="宋体" w:cs="宋体"/>
                <w:b w:val="0"/>
                <w:bCs w:val="0"/>
                <w:sz w:val="20"/>
                <w:szCs w:val="20"/>
                <w:lang w:val="en-US" w:eastAsia="zh-CN"/>
              </w:rPr>
              <w:t>进一步提升我市养老服务质量</w:t>
            </w:r>
          </w:p>
        </w:tc>
        <w:tc>
          <w:tcPr>
            <w:tcW w:w="686"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及时发放各类资金</w:t>
            </w:r>
          </w:p>
        </w:tc>
        <w:tc>
          <w:tcPr>
            <w:tcW w:w="6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kern w:val="2"/>
                <w:sz w:val="20"/>
                <w:szCs w:val="20"/>
                <w:lang w:val="en-US" w:eastAsia="zh-CN" w:bidi="ar-SA"/>
              </w:rPr>
            </w:pPr>
            <w:r>
              <w:rPr>
                <w:rFonts w:hint="eastAsia" w:ascii="宋体" w:hAnsi="宋体" w:cs="宋体"/>
                <w:b w:val="0"/>
                <w:bCs w:val="0"/>
                <w:sz w:val="20"/>
                <w:szCs w:val="20"/>
                <w:lang w:eastAsia="zh-CN"/>
              </w:rPr>
              <w:t>及时发放各类资金</w:t>
            </w:r>
          </w:p>
        </w:tc>
        <w:tc>
          <w:tcPr>
            <w:tcW w:w="686"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sz w:val="20"/>
                <w:szCs w:val="20"/>
              </w:rPr>
              <w:t>拉动社会资本投入三级养老中心建设资金</w:t>
            </w:r>
          </w:p>
        </w:tc>
        <w:tc>
          <w:tcPr>
            <w:tcW w:w="6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10</w:t>
            </w:r>
          </w:p>
        </w:tc>
        <w:tc>
          <w:tcPr>
            <w:tcW w:w="7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达成预期指标。</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b w:val="0"/>
                <w:bCs w:val="0"/>
                <w:kern w:val="2"/>
                <w:sz w:val="20"/>
                <w:szCs w:val="20"/>
                <w:lang w:val="en-US" w:eastAsia="zh-CN" w:bidi="ar-SA"/>
              </w:rPr>
            </w:pPr>
            <w:r>
              <w:rPr>
                <w:rFonts w:hint="eastAsia"/>
                <w:b w:val="0"/>
                <w:bCs w:val="0"/>
                <w:sz w:val="20"/>
                <w:szCs w:val="20"/>
              </w:rPr>
              <w:t>拉动社会资本投入三级养老中心建设资金</w:t>
            </w:r>
          </w:p>
        </w:tc>
        <w:tc>
          <w:tcPr>
            <w:tcW w:w="686"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达成预期指标。</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社会效益指标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形成全覆盖的社区居家养老服务供给体系，有效提升我市老年人居家养老服务的能力。</w:t>
            </w:r>
          </w:p>
        </w:tc>
        <w:tc>
          <w:tcPr>
            <w:tcW w:w="6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0"/>
                <w:szCs w:val="20"/>
                <w:lang w:val="en-US" w:eastAsia="zh-CN"/>
              </w:rPr>
            </w:pPr>
            <w:r>
              <w:rPr>
                <w:rFonts w:hint="eastAsia" w:ascii="宋体" w:hAnsi="宋体" w:cs="宋体"/>
                <w:sz w:val="20"/>
                <w:szCs w:val="20"/>
                <w:lang w:val="en-US" w:eastAsia="zh-CN"/>
              </w:rPr>
              <w:t>20</w:t>
            </w:r>
          </w:p>
        </w:tc>
        <w:tc>
          <w:tcPr>
            <w:tcW w:w="7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0"/>
                <w:szCs w:val="20"/>
                <w:lang w:val="en-US" w:eastAsia="zh-CN"/>
              </w:rPr>
            </w:pPr>
            <w:r>
              <w:rPr>
                <w:rFonts w:hint="eastAsia"/>
                <w:sz w:val="20"/>
                <w:szCs w:val="20"/>
                <w:lang w:eastAsia="zh-CN"/>
              </w:rPr>
              <w:t>达成预期指标。</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社会效益指标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val="0"/>
                <w:bCs w:val="0"/>
                <w:sz w:val="20"/>
                <w:szCs w:val="20"/>
                <w:lang w:eastAsia="zh-CN"/>
              </w:rPr>
            </w:pPr>
            <w:r>
              <w:rPr>
                <w:rFonts w:hint="eastAsia" w:ascii="宋体" w:hAnsi="宋体" w:cs="宋体"/>
                <w:b w:val="0"/>
                <w:bCs w:val="0"/>
                <w:sz w:val="20"/>
                <w:szCs w:val="20"/>
                <w:lang w:eastAsia="zh-CN"/>
              </w:rPr>
              <w:t>形成全覆盖的社区居家养老服务供给体系，有效提升我市老年人居家养老服务的能力。</w:t>
            </w:r>
          </w:p>
        </w:tc>
        <w:tc>
          <w:tcPr>
            <w:tcW w:w="68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0"/>
                <w:szCs w:val="20"/>
                <w:lang w:val="en-US" w:eastAsia="zh-CN"/>
              </w:rPr>
            </w:pPr>
            <w:r>
              <w:rPr>
                <w:rFonts w:hint="eastAsia" w:ascii="宋体" w:hAnsi="宋体" w:cs="宋体"/>
                <w:sz w:val="20"/>
                <w:szCs w:val="20"/>
                <w:lang w:val="en-US" w:eastAsia="zh-CN"/>
              </w:rPr>
              <w:t>20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0"/>
                <w:szCs w:val="20"/>
                <w:lang w:val="en-US" w:eastAsia="zh-CN"/>
              </w:rPr>
            </w:pPr>
            <w:r>
              <w:rPr>
                <w:rFonts w:hint="eastAsia"/>
                <w:sz w:val="20"/>
                <w:szCs w:val="20"/>
                <w:lang w:eastAsia="zh-CN"/>
              </w:rPr>
              <w:t>达成预期指标。</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服务对象满意度指标</w:t>
            </w:r>
          </w:p>
        </w:tc>
        <w:tc>
          <w:tcPr>
            <w:tcW w:w="158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养老服务体系建设得到社会广泛赞誉和支持，十分满意。</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 w:val="20"/>
                <w:szCs w:val="20"/>
                <w:lang w:val="en-US" w:eastAsia="zh-CN"/>
              </w:rPr>
            </w:pPr>
            <w:r>
              <w:rPr>
                <w:rFonts w:hint="eastAsia" w:ascii="宋体" w:hAnsi="宋体" w:cs="宋体"/>
                <w:sz w:val="20"/>
                <w:szCs w:val="20"/>
                <w:lang w:val="en-US" w:eastAsia="zh-CN"/>
              </w:rPr>
              <w:t>10</w:t>
            </w:r>
          </w:p>
        </w:tc>
        <w:tc>
          <w:tcPr>
            <w:tcW w:w="7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lang w:val="en-US" w:eastAsia="zh-CN"/>
              </w:rPr>
            </w:pPr>
            <w:r>
              <w:rPr>
                <w:rFonts w:hint="eastAsia" w:ascii="宋体" w:hAnsi="宋体" w:cs="宋体"/>
                <w:sz w:val="20"/>
                <w:szCs w:val="20"/>
                <w:lang w:val="en-US" w:eastAsia="zh-CN"/>
              </w:rPr>
              <w:t>95%以上</w:t>
            </w:r>
          </w:p>
        </w:tc>
        <w:tc>
          <w:tcPr>
            <w:tcW w:w="8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服务对象满意度指标</w:t>
            </w:r>
          </w:p>
        </w:tc>
        <w:tc>
          <w:tcPr>
            <w:tcW w:w="165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val="0"/>
                <w:bCs w:val="0"/>
                <w:sz w:val="20"/>
                <w:szCs w:val="20"/>
                <w:lang w:eastAsia="zh-CN"/>
              </w:rPr>
            </w:pPr>
            <w:r>
              <w:rPr>
                <w:rFonts w:hint="eastAsia" w:ascii="宋体" w:hAnsi="宋体" w:cs="宋体"/>
                <w:b w:val="0"/>
                <w:bCs w:val="0"/>
                <w:sz w:val="20"/>
                <w:szCs w:val="20"/>
                <w:lang w:eastAsia="zh-CN"/>
              </w:rPr>
              <w:t>养老服务体系建设得到社会的广泛赞誉和支持，十分满意。</w:t>
            </w:r>
          </w:p>
        </w:tc>
        <w:tc>
          <w:tcPr>
            <w:tcW w:w="686"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cs="宋体"/>
                <w:sz w:val="20"/>
                <w:szCs w:val="20"/>
                <w:lang w:val="en-US" w:eastAsia="zh-CN"/>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20"/>
                <w:szCs w:val="20"/>
                <w:lang w:val="en-US" w:eastAsia="zh-CN"/>
              </w:rPr>
            </w:pPr>
            <w:r>
              <w:rPr>
                <w:rFonts w:hint="eastAsia" w:ascii="宋体" w:hAnsi="宋体" w:cs="宋体"/>
                <w:sz w:val="20"/>
                <w:szCs w:val="20"/>
                <w:lang w:val="en-US" w:eastAsia="zh-CN"/>
              </w:rPr>
              <w:t>95%以上</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9.</w:t>
      </w:r>
      <w:r>
        <w:rPr>
          <w:rFonts w:hint="eastAsia" w:ascii="仿宋_GB2312" w:hAnsi="楷体" w:eastAsia="仿宋_GB2312"/>
          <w:b/>
          <w:sz w:val="32"/>
          <w:szCs w:val="32"/>
        </w:rPr>
        <w:t>“80岁以上老年人高龄津贴”项目。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为</w:t>
      </w:r>
      <w:r>
        <w:rPr>
          <w:rFonts w:hint="eastAsia" w:ascii="仿宋_GB2312" w:hAnsi="楷体" w:eastAsia="仿宋_GB2312"/>
          <w:sz w:val="32"/>
          <w:szCs w:val="32"/>
        </w:rPr>
        <w:t>80岁以上老年人</w:t>
      </w:r>
      <w:r>
        <w:rPr>
          <w:rFonts w:hint="eastAsia" w:ascii="仿宋_GB2312" w:hAnsi="楷体" w:eastAsia="仿宋_GB2312"/>
          <w:sz w:val="32"/>
          <w:szCs w:val="32"/>
          <w:lang w:eastAsia="zh-CN"/>
        </w:rPr>
        <w:t>发放</w:t>
      </w:r>
      <w:r>
        <w:rPr>
          <w:rFonts w:hint="eastAsia" w:ascii="仿宋_GB2312" w:hAnsi="楷体" w:eastAsia="仿宋_GB2312"/>
          <w:sz w:val="32"/>
          <w:szCs w:val="32"/>
        </w:rPr>
        <w:t>高龄津贴</w:t>
      </w:r>
      <w:r>
        <w:rPr>
          <w:rFonts w:hint="eastAsia" w:ascii="仿宋_GB2312" w:hAnsi="楷体" w:eastAsia="仿宋_GB2312"/>
          <w:sz w:val="32"/>
          <w:szCs w:val="32"/>
          <w:lang w:eastAsia="zh-CN"/>
        </w:rPr>
        <w:t>，市辖三区</w:t>
      </w:r>
      <w:r>
        <w:rPr>
          <w:rFonts w:hint="eastAsia" w:ascii="仿宋_GB2312" w:hAnsi="楷体" w:eastAsia="仿宋_GB2312"/>
          <w:sz w:val="32"/>
          <w:szCs w:val="32"/>
        </w:rPr>
        <w:t>符合条件的80岁以上老年人高龄津贴</w:t>
      </w:r>
      <w:r>
        <w:rPr>
          <w:rFonts w:hint="eastAsia" w:ascii="仿宋_GB2312" w:hAnsi="楷体" w:eastAsia="仿宋_GB2312"/>
          <w:sz w:val="32"/>
          <w:szCs w:val="32"/>
          <w:lang w:eastAsia="zh-CN"/>
        </w:rPr>
        <w:t>约</w:t>
      </w:r>
      <w:r>
        <w:rPr>
          <w:rFonts w:hint="eastAsia" w:ascii="仿宋_GB2312" w:hAnsi="楷体" w:eastAsia="仿宋_GB2312"/>
          <w:sz w:val="32"/>
          <w:szCs w:val="32"/>
          <w:lang w:val="en-US" w:eastAsia="zh-CN"/>
        </w:rPr>
        <w:t>3.1万</w:t>
      </w:r>
      <w:r>
        <w:rPr>
          <w:rFonts w:hint="eastAsia" w:ascii="仿宋_GB2312" w:hAnsi="楷体" w:eastAsia="仿宋_GB2312"/>
          <w:sz w:val="32"/>
          <w:szCs w:val="32"/>
        </w:rPr>
        <w:t>人，</w:t>
      </w:r>
      <w:r>
        <w:rPr>
          <w:rFonts w:hint="eastAsia" w:ascii="仿宋_GB2312" w:hAnsi="楷体" w:eastAsia="仿宋_GB2312"/>
          <w:sz w:val="32"/>
          <w:szCs w:val="32"/>
          <w:lang w:val="en-US" w:eastAsia="zh-CN"/>
        </w:rPr>
        <w:t>80-99周岁的老人约30860人，</w:t>
      </w:r>
      <w:r>
        <w:rPr>
          <w:rFonts w:hint="eastAsia" w:ascii="仿宋_GB2312" w:hAnsi="楷体" w:eastAsia="仿宋_GB2312"/>
          <w:sz w:val="32"/>
          <w:szCs w:val="32"/>
        </w:rPr>
        <w:t>按照每人每月40元标准，</w:t>
      </w:r>
      <w:r>
        <w:rPr>
          <w:rFonts w:hint="eastAsia" w:ascii="仿宋_GB2312" w:hAnsi="楷体" w:eastAsia="仿宋_GB2312"/>
          <w:sz w:val="32"/>
          <w:szCs w:val="32"/>
          <w:lang w:eastAsia="zh-CN"/>
        </w:rPr>
        <w:t>需</w:t>
      </w:r>
      <w:r>
        <w:rPr>
          <w:rFonts w:hint="eastAsia" w:ascii="仿宋_GB2312" w:hAnsi="楷体" w:eastAsia="仿宋_GB2312"/>
          <w:sz w:val="32"/>
          <w:szCs w:val="32"/>
          <w:lang w:val="en-US" w:eastAsia="zh-CN"/>
        </w:rPr>
        <w:t>1481.3万元；</w:t>
      </w:r>
      <w:r>
        <w:rPr>
          <w:rFonts w:hint="eastAsia" w:ascii="仿宋_GB2312" w:hAnsi="楷体" w:eastAsia="仿宋_GB2312"/>
          <w:sz w:val="32"/>
          <w:szCs w:val="32"/>
        </w:rPr>
        <w:t>百岁老人</w:t>
      </w:r>
      <w:r>
        <w:rPr>
          <w:rFonts w:hint="eastAsia" w:ascii="仿宋_GB2312" w:hAnsi="楷体" w:eastAsia="仿宋_GB2312"/>
          <w:sz w:val="32"/>
          <w:szCs w:val="32"/>
          <w:lang w:eastAsia="zh-CN"/>
        </w:rPr>
        <w:t>约</w:t>
      </w:r>
      <w:r>
        <w:rPr>
          <w:rFonts w:hint="eastAsia" w:ascii="仿宋_GB2312" w:hAnsi="楷体" w:eastAsia="仿宋_GB2312"/>
          <w:sz w:val="32"/>
          <w:szCs w:val="32"/>
          <w:lang w:val="en-US" w:eastAsia="zh-CN"/>
        </w:rPr>
        <w:t>140</w:t>
      </w:r>
      <w:r>
        <w:rPr>
          <w:rFonts w:hint="eastAsia" w:ascii="仿宋_GB2312" w:hAnsi="楷体" w:eastAsia="仿宋_GB2312"/>
          <w:sz w:val="32"/>
          <w:szCs w:val="32"/>
        </w:rPr>
        <w:t>人，每人每月600元，</w:t>
      </w:r>
      <w:r>
        <w:rPr>
          <w:rFonts w:hint="eastAsia" w:ascii="仿宋_GB2312" w:hAnsi="楷体" w:eastAsia="仿宋_GB2312"/>
          <w:sz w:val="32"/>
          <w:szCs w:val="32"/>
          <w:lang w:eastAsia="zh-CN"/>
        </w:rPr>
        <w:t>需</w:t>
      </w:r>
      <w:r>
        <w:rPr>
          <w:rFonts w:hint="eastAsia" w:ascii="仿宋_GB2312" w:hAnsi="楷体" w:eastAsia="仿宋_GB2312"/>
          <w:sz w:val="32"/>
          <w:szCs w:val="32"/>
          <w:lang w:val="en-US" w:eastAsia="zh-CN"/>
        </w:rPr>
        <w:t>100.8</w:t>
      </w:r>
      <w:r>
        <w:rPr>
          <w:rFonts w:hint="eastAsia" w:ascii="仿宋_GB2312" w:hAnsi="楷体" w:eastAsia="仿宋_GB2312"/>
          <w:sz w:val="32"/>
          <w:szCs w:val="32"/>
        </w:rPr>
        <w:t>万元，两项合计</w:t>
      </w:r>
      <w:r>
        <w:rPr>
          <w:rFonts w:hint="eastAsia" w:ascii="仿宋_GB2312" w:hAnsi="楷体" w:eastAsia="仿宋_GB2312"/>
          <w:sz w:val="32"/>
          <w:szCs w:val="32"/>
          <w:lang w:val="en-US" w:eastAsia="zh-CN"/>
        </w:rPr>
        <w:t>1582.1</w:t>
      </w:r>
      <w:r>
        <w:rPr>
          <w:rFonts w:hint="eastAsia" w:ascii="仿宋_GB2312" w:hAnsi="楷体" w:eastAsia="仿宋_GB2312"/>
          <w:sz w:val="32"/>
          <w:szCs w:val="32"/>
        </w:rPr>
        <w:t>万元，市、区财政按3:7的比例补助，市财政补贴</w:t>
      </w:r>
      <w:r>
        <w:rPr>
          <w:rFonts w:hint="eastAsia" w:ascii="仿宋_GB2312" w:hAnsi="楷体" w:eastAsia="仿宋_GB2312"/>
          <w:sz w:val="32"/>
          <w:szCs w:val="32"/>
          <w:lang w:val="en-US" w:eastAsia="zh-CN"/>
        </w:rPr>
        <w:t>475</w:t>
      </w:r>
      <w:r>
        <w:rPr>
          <w:rFonts w:hint="eastAsia" w:ascii="仿宋_GB2312" w:hAnsi="楷体" w:eastAsia="仿宋_GB2312"/>
          <w:sz w:val="32"/>
          <w:szCs w:val="32"/>
        </w:rPr>
        <w:t>万元</w:t>
      </w:r>
      <w:r>
        <w:rPr>
          <w:rFonts w:hint="eastAsia" w:ascii="仿宋_GB2312" w:hAnsi="楷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val="en-US" w:eastAsia="zh-CN"/>
        </w:rPr>
        <w:t>为民生工程任务。1.</w:t>
      </w:r>
      <w:r>
        <w:rPr>
          <w:rFonts w:hint="eastAsia" w:ascii="仿宋_GB2312" w:hAnsi="楷体" w:eastAsia="仿宋_GB2312"/>
          <w:sz w:val="32"/>
          <w:szCs w:val="32"/>
        </w:rPr>
        <w:t>《淮北市人民政府关于调整我市高龄津贴标准的通知》</w:t>
      </w:r>
      <w:r>
        <w:rPr>
          <w:rFonts w:hint="eastAsia" w:ascii="仿宋_GB2312" w:hAnsi="楷体" w:eastAsia="仿宋_GB2312"/>
          <w:sz w:val="32"/>
          <w:szCs w:val="32"/>
          <w:lang w:eastAsia="zh-CN"/>
        </w:rPr>
        <w:t>（</w:t>
      </w:r>
      <w:r>
        <w:rPr>
          <w:rFonts w:hint="eastAsia" w:ascii="仿宋_GB2312" w:hAnsi="楷体" w:eastAsia="仿宋_GB2312"/>
          <w:sz w:val="32"/>
          <w:szCs w:val="32"/>
        </w:rPr>
        <w:t>淮政秘〔2019〕39号</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淮民社救〔2022〕5号：关于印发《淮北市城乡居民最低生活保障实施方案》等七项民生工程实施方案的通知</w:t>
      </w:r>
      <w:r>
        <w:rPr>
          <w:rFonts w:hint="eastAsia" w:ascii="仿宋_GB2312" w:hAnsi="楷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楷体" w:eastAsia="仿宋_GB2312"/>
          <w:sz w:val="32"/>
          <w:szCs w:val="32"/>
        </w:rPr>
      </w:pPr>
      <w:r>
        <w:rPr>
          <w:rFonts w:hint="eastAsia" w:ascii="仿宋_GB2312" w:hAnsi="楷体" w:eastAsia="仿宋_GB2312"/>
          <w:sz w:val="32"/>
          <w:szCs w:val="32"/>
        </w:rPr>
        <w:t>（3）实施主体。养老服务科</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楷体" w:eastAsia="仿宋_GB2312"/>
          <w:sz w:val="32"/>
          <w:szCs w:val="32"/>
          <w:lang w:eastAsia="zh-CN"/>
        </w:rPr>
        <w:t>为</w:t>
      </w:r>
      <w:r>
        <w:rPr>
          <w:rFonts w:hint="eastAsia" w:ascii="仿宋_GB2312" w:hAnsi="楷体" w:eastAsia="仿宋_GB2312"/>
          <w:sz w:val="32"/>
          <w:szCs w:val="32"/>
        </w:rPr>
        <w:t>80岁以上老年人</w:t>
      </w:r>
      <w:r>
        <w:rPr>
          <w:rFonts w:hint="eastAsia" w:ascii="仿宋_GB2312" w:hAnsi="楷体" w:eastAsia="仿宋_GB2312"/>
          <w:sz w:val="32"/>
          <w:szCs w:val="32"/>
          <w:lang w:eastAsia="zh-CN"/>
        </w:rPr>
        <w:t>发放</w:t>
      </w:r>
      <w:r>
        <w:rPr>
          <w:rFonts w:hint="eastAsia" w:ascii="仿宋_GB2312" w:hAnsi="楷体" w:eastAsia="仿宋_GB2312"/>
          <w:sz w:val="32"/>
          <w:szCs w:val="32"/>
        </w:rPr>
        <w:t>高龄津贴补贴</w:t>
      </w:r>
      <w:r>
        <w:rPr>
          <w:rFonts w:hint="eastAsia" w:ascii="仿宋_GB2312" w:hAnsi="楷体" w:eastAsia="仿宋_GB2312"/>
          <w:sz w:val="32"/>
          <w:szCs w:val="32"/>
          <w:lang w:eastAsia="zh-CN"/>
        </w:rPr>
        <w:t>。</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475</w:t>
      </w:r>
      <w:r>
        <w:rPr>
          <w:rFonts w:hint="eastAsia" w:ascii="仿宋_GB2312" w:hAnsi="楷体" w:eastAsia="仿宋_GB2312"/>
          <w:sz w:val="32"/>
          <w:szCs w:val="32"/>
        </w:rPr>
        <w:t>万元</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按照序时进度为三区符合高龄津贴条件的80岁以上老年人，每月进行100%的全覆盖发放。政策受益群体满意度高，社会效益显著，密切党群关系，提升党和政府在群众中的公信力和号召力。</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adjustRightInd w:val="0"/>
              <w:snapToGrid w:val="0"/>
              <w:spacing w:line="600" w:lineRule="exact"/>
              <w:ind w:firstLine="640" w:firstLineChars="200"/>
              <w:jc w:val="center"/>
              <w:rPr>
                <w:rFonts w:ascii="宋体" w:hAnsi="宋体" w:cs="宋体"/>
                <w:b/>
                <w:bCs/>
                <w:sz w:val="32"/>
                <w:szCs w:val="32"/>
              </w:rPr>
            </w:pPr>
            <w:r>
              <w:rPr>
                <w:rFonts w:hint="eastAsia" w:ascii="仿宋_GB2312" w:hAnsi="楷体" w:eastAsia="仿宋_GB2312"/>
                <w:sz w:val="32"/>
                <w:szCs w:val="32"/>
                <w:lang w:eastAsia="zh-CN"/>
              </w:rPr>
              <w:br w:type="page"/>
            </w: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80岁以上老年人高龄津贴</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养老服务科</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sz w:val="20"/>
                <w:szCs w:val="20"/>
                <w:lang w:val="en-US"/>
              </w:rPr>
            </w:pPr>
            <w:r>
              <w:rPr>
                <w:rFonts w:hint="eastAsia"/>
                <w:sz w:val="20"/>
                <w:szCs w:val="20"/>
                <w:lang w:val="en-US" w:eastAsia="zh-CN"/>
              </w:rPr>
              <w:t>237.5</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cs="宋体"/>
                <w:sz w:val="20"/>
                <w:szCs w:val="20"/>
                <w:lang w:val="en-US"/>
              </w:rPr>
            </w:pPr>
            <w:r>
              <w:rPr>
                <w:rFonts w:hint="eastAsia" w:ascii="宋体" w:hAnsi="宋体" w:cs="宋体"/>
                <w:sz w:val="20"/>
                <w:szCs w:val="20"/>
                <w:lang w:val="en-US" w:eastAsia="zh-CN"/>
              </w:rPr>
              <w:t>475</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sz w:val="20"/>
                <w:szCs w:val="20"/>
                <w:lang w:val="en-US"/>
              </w:rPr>
            </w:pPr>
            <w:r>
              <w:rPr>
                <w:rFonts w:hint="eastAsia"/>
                <w:sz w:val="20"/>
                <w:szCs w:val="20"/>
                <w:lang w:val="en-US" w:eastAsia="zh-CN"/>
              </w:rPr>
              <w:t>237.5</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cs="宋体"/>
                <w:sz w:val="20"/>
                <w:szCs w:val="20"/>
                <w:lang w:val="en-US"/>
              </w:rPr>
            </w:pPr>
            <w:r>
              <w:rPr>
                <w:rFonts w:hint="eastAsia" w:ascii="宋体" w:hAnsi="宋体" w:cs="宋体"/>
                <w:sz w:val="20"/>
                <w:szCs w:val="20"/>
                <w:lang w:val="en-US" w:eastAsia="zh-CN"/>
              </w:rPr>
              <w:t>475</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0</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rPr>
                <w:rFonts w:ascii="宋体" w:hAnsi="宋体" w:cs="宋体"/>
                <w:sz w:val="20"/>
                <w:szCs w:val="20"/>
              </w:rPr>
            </w:pPr>
            <w:r>
              <w:rPr>
                <w:rFonts w:hint="eastAsia"/>
                <w:sz w:val="20"/>
                <w:szCs w:val="20"/>
              </w:rPr>
              <w:t xml:space="preserve"> </w:t>
            </w:r>
            <w:r>
              <w:rPr>
                <w:rFonts w:hint="eastAsia"/>
                <w:sz w:val="20"/>
                <w:szCs w:val="20"/>
                <w:lang w:eastAsia="zh-CN"/>
              </w:rPr>
              <w:t>按照序时进度，每月发放，</w:t>
            </w:r>
            <w:r>
              <w:rPr>
                <w:rFonts w:hint="eastAsia"/>
                <w:sz w:val="20"/>
                <w:szCs w:val="20"/>
              </w:rPr>
              <w:t>对全市符合80岁以上老年人高龄津贴的老年人，进行100%的全覆盖发放。</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sz w:val="20"/>
                <w:szCs w:val="20"/>
              </w:rPr>
              <w:t xml:space="preserve"> </w:t>
            </w:r>
            <w:r>
              <w:rPr>
                <w:rFonts w:hint="eastAsia"/>
                <w:sz w:val="20"/>
                <w:szCs w:val="20"/>
                <w:lang w:eastAsia="zh-CN"/>
              </w:rPr>
              <w:t>按照序时进度，每月发放，</w:t>
            </w:r>
            <w:r>
              <w:rPr>
                <w:rFonts w:hint="eastAsia"/>
                <w:sz w:val="20"/>
                <w:szCs w:val="20"/>
              </w:rPr>
              <w:t>对全市符合80岁以上老年人高龄津贴的老年人，进行100%的全覆盖发放。</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市辖三区符合条件的</w:t>
            </w:r>
            <w:r>
              <w:rPr>
                <w:rFonts w:hint="eastAsia"/>
                <w:sz w:val="20"/>
                <w:szCs w:val="20"/>
                <w:lang w:val="en-US" w:eastAsia="zh-CN"/>
              </w:rPr>
              <w:t>80岁以上老年人</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市辖三区符合条件的</w:t>
            </w:r>
            <w:r>
              <w:rPr>
                <w:rFonts w:hint="eastAsia"/>
                <w:sz w:val="20"/>
                <w:szCs w:val="20"/>
                <w:lang w:val="en-US" w:eastAsia="zh-CN"/>
              </w:rPr>
              <w:t>80岁以上老年人</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符合条件的老年人全覆盖发放</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符合条件的老年人全覆盖发放</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15</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按月及时发放</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15</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按月及时发放</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15</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提升高龄老人的幸福感和获得感</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95%以上</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提升高龄老人的幸福感和获得感</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95%以上</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高龄老人群体满意度高</w:t>
            </w:r>
          </w:p>
        </w:tc>
        <w:tc>
          <w:tcPr>
            <w:tcW w:w="860"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ascii="宋体" w:hAnsi="宋体" w:cs="宋体"/>
                <w:sz w:val="20"/>
                <w:szCs w:val="20"/>
                <w:lang w:val="en-US" w:eastAsia="zh-CN"/>
              </w:rPr>
              <w:t>10</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95%以上</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w:t>
            </w:r>
            <w:r>
              <w:rPr>
                <w:rFonts w:hint="eastAsia"/>
                <w:sz w:val="20"/>
                <w:szCs w:val="20"/>
                <w:lang w:eastAsia="zh-CN"/>
              </w:rPr>
              <w:t>高龄老人群体满意度高</w:t>
            </w:r>
          </w:p>
        </w:tc>
        <w:tc>
          <w:tcPr>
            <w:tcW w:w="623" w:type="dxa"/>
            <w:tcBorders>
              <w:top w:val="nil"/>
              <w:left w:val="nil"/>
              <w:bottom w:val="single" w:color="auto" w:sz="4" w:space="0"/>
              <w:right w:val="single" w:color="auto" w:sz="4" w:space="0"/>
            </w:tcBorders>
            <w:noWrap w:val="0"/>
            <w:vAlign w:val="center"/>
          </w:tcPr>
          <w:p>
            <w:pPr>
              <w:jc w:val="both"/>
              <w:rPr>
                <w:rFonts w:ascii="宋体" w:hAnsi="宋体" w:cs="宋体"/>
                <w:sz w:val="20"/>
                <w:szCs w:val="20"/>
              </w:rPr>
            </w:pPr>
            <w:r>
              <w:rPr>
                <w:rFonts w:hint="eastAsia" w:ascii="宋体" w:hAnsi="宋体" w:cs="宋体"/>
                <w:sz w:val="20"/>
                <w:szCs w:val="20"/>
                <w:lang w:val="en-US" w:eastAsia="zh-CN"/>
              </w:rPr>
              <w:t>10</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95%以上</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w:t>
      </w:r>
      <w:r>
        <w:rPr>
          <w:rFonts w:hint="eastAsia" w:ascii="仿宋_GB2312" w:hAnsi="楷体" w:eastAsia="仿宋_GB2312"/>
          <w:b/>
          <w:sz w:val="32"/>
          <w:szCs w:val="32"/>
          <w:lang w:val="en-US" w:eastAsia="zh-CN"/>
        </w:rPr>
        <w:t>0</w:t>
      </w:r>
      <w:r>
        <w:rPr>
          <w:rFonts w:hint="eastAsia" w:ascii="仿宋_GB2312" w:hAnsi="楷体" w:eastAsia="仿宋_GB2312"/>
          <w:b/>
          <w:sz w:val="32"/>
          <w:szCs w:val="32"/>
        </w:rPr>
        <w:t>.“老年食堂（助餐点）体系建设”项目。</w:t>
      </w:r>
    </w:p>
    <w:p>
      <w:p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为建成后正常运营的老年食堂（助餐点）给予运营补贴。</w:t>
      </w:r>
      <w:r>
        <w:rPr>
          <w:rFonts w:hint="eastAsia" w:ascii="仿宋_GB2312" w:hAnsi="楷体" w:eastAsia="仿宋_GB2312"/>
          <w:sz w:val="32"/>
          <w:szCs w:val="32"/>
          <w:lang w:val="en-US" w:eastAsia="zh-CN"/>
        </w:rPr>
        <w:t>对在政府认定的老年食堂（助餐点）就餐的老年人，按照年龄结构实行就餐补贴。</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（2）立项依据。</w:t>
      </w:r>
      <w:r>
        <w:rPr>
          <w:rFonts w:hint="eastAsia" w:ascii="仿宋_GB2312" w:hAnsi="楷体" w:eastAsia="仿宋_GB2312"/>
          <w:sz w:val="32"/>
          <w:szCs w:val="32"/>
          <w:lang w:val="en-US" w:eastAsia="zh-CN"/>
        </w:rPr>
        <w:t>为民生工程任务和暖民心行动任务。1.</w:t>
      </w:r>
      <w:r>
        <w:rPr>
          <w:rFonts w:hint="eastAsia" w:ascii="仿宋_GB2312" w:hAnsi="楷体" w:eastAsia="仿宋_GB2312"/>
          <w:sz w:val="32"/>
          <w:szCs w:val="32"/>
          <w:lang w:eastAsia="zh-CN"/>
        </w:rPr>
        <w:t>淮办发〔2022〕10号：关于印发《就业促进行动方案》等暖民心行动方案的通知、</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淮民社救〔2022〕5号：关于印发《淮北市城乡居民最低生活保障实施方案》等七项民生工程实施方案的通知。</w:t>
      </w:r>
      <w:r>
        <w:rPr>
          <w:rFonts w:hint="eastAsia" w:ascii="仿宋_GB2312" w:hAnsi="楷体" w:eastAsia="仿宋_GB2312"/>
          <w:sz w:val="32"/>
          <w:szCs w:val="32"/>
          <w:lang w:val="en-US" w:eastAsia="zh-CN"/>
        </w:rPr>
        <w:t>3.民生办〔2023〕1号：《淮北市民生工作领导小组办公室关于印发10项暖民心行动2023年实施方案的通知》4.皖民生办〔2023〕3号《安徽省民生工作领导小组办公室关于2023年实施50项民生实事的通知》</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（3）实施主体。养老服务科</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建成后正常运营的城区老年食堂（助餐点）给予运营补贴。对在政府认定的老年食堂（助餐点）就餐的老年人，按照年龄结构实行就餐补贴。老年助餐服务机构使用的老年助餐结算系统运营所需的网费、维护费用。</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500</w:t>
      </w:r>
      <w:r>
        <w:rPr>
          <w:rFonts w:hint="eastAsia" w:ascii="仿宋_GB2312" w:hAnsi="楷体" w:eastAsia="仿宋_GB2312"/>
          <w:sz w:val="32"/>
          <w:szCs w:val="32"/>
        </w:rPr>
        <w:t>万元</w:t>
      </w:r>
    </w:p>
    <w:p>
      <w:pPr>
        <w:adjustRightInd w:val="0"/>
        <w:snapToGrid w:val="0"/>
        <w:spacing w:line="600" w:lineRule="exact"/>
        <w:ind w:firstLine="640" w:firstLineChars="200"/>
      </w:pPr>
      <w:r>
        <w:rPr>
          <w:rFonts w:hint="eastAsia" w:ascii="仿宋_GB2312" w:hAnsi="楷体" w:eastAsia="仿宋_GB2312"/>
          <w:sz w:val="32"/>
          <w:szCs w:val="32"/>
        </w:rPr>
        <w:t>（7）绩效目标。</w:t>
      </w:r>
      <w:r>
        <w:rPr>
          <w:rFonts w:hint="eastAsia" w:ascii="仿宋_GB2312" w:hAnsi="楷体" w:eastAsia="仿宋_GB2312"/>
          <w:sz w:val="32"/>
          <w:szCs w:val="32"/>
          <w:lang w:eastAsia="zh-CN"/>
        </w:rPr>
        <w:t>规范老年食堂（助餐点）体系建设，激励老年食堂（助餐点）为更多的老年人提供服务，保障老年人就餐权益，满足更多老年人的就餐需求，确保老年人吃得好、吃得满意、吃得安全，又兼顾企业利益，实现互利共赢。</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1865"/>
        <w:gridCol w:w="885"/>
        <w:gridCol w:w="750"/>
        <w:gridCol w:w="885"/>
        <w:gridCol w:w="1195"/>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老年食堂（助餐点）体系建设</w:t>
            </w:r>
          </w:p>
        </w:tc>
      </w:tr>
      <w:tr>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养老服务科</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8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35"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sz w:val="20"/>
                <w:szCs w:val="20"/>
                <w:lang w:val="en-US"/>
              </w:rPr>
            </w:pPr>
            <w:r>
              <w:rPr>
                <w:rFonts w:hint="eastAsia"/>
                <w:sz w:val="20"/>
                <w:szCs w:val="20"/>
                <w:lang w:val="en-US" w:eastAsia="zh-CN"/>
              </w:rPr>
              <w:t>250</w:t>
            </w:r>
          </w:p>
        </w:tc>
        <w:tc>
          <w:tcPr>
            <w:tcW w:w="2080"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cs="宋体"/>
                <w:sz w:val="20"/>
                <w:szCs w:val="20"/>
                <w:lang w:val="en-US"/>
              </w:rPr>
            </w:pPr>
            <w:r>
              <w:rPr>
                <w:rFonts w:hint="eastAsia" w:ascii="宋体" w:hAnsi="宋体" w:cs="宋体"/>
                <w:sz w:val="20"/>
                <w:szCs w:val="20"/>
                <w:lang w:val="en-US" w:eastAsia="zh-CN"/>
              </w:rPr>
              <w:t>500</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18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35"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cs="宋体"/>
                <w:sz w:val="20"/>
                <w:szCs w:val="20"/>
                <w:lang w:val="en-US"/>
              </w:rPr>
            </w:pPr>
            <w:r>
              <w:rPr>
                <w:rFonts w:hint="eastAsia"/>
                <w:sz w:val="20"/>
                <w:szCs w:val="20"/>
                <w:lang w:val="en-US" w:eastAsia="zh-CN"/>
              </w:rPr>
              <w:t>250</w:t>
            </w:r>
          </w:p>
        </w:tc>
        <w:tc>
          <w:tcPr>
            <w:tcW w:w="2080"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cs="宋体"/>
                <w:sz w:val="20"/>
                <w:szCs w:val="20"/>
                <w:lang w:val="en-US"/>
              </w:rPr>
            </w:pPr>
            <w:r>
              <w:rPr>
                <w:rFonts w:hint="eastAsia" w:ascii="宋体" w:hAnsi="宋体" w:cs="宋体"/>
                <w:sz w:val="20"/>
                <w:szCs w:val="20"/>
                <w:lang w:val="en-US" w:eastAsia="zh-CN"/>
              </w:rPr>
              <w:t>500</w:t>
            </w:r>
          </w:p>
        </w:tc>
      </w:tr>
      <w:tr>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18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35"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0</w:t>
            </w:r>
          </w:p>
        </w:tc>
        <w:tc>
          <w:tcPr>
            <w:tcW w:w="2080"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0</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260"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w:t>
            </w:r>
          </w:p>
        </w:tc>
        <w:tc>
          <w:tcPr>
            <w:tcW w:w="3344"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260" w:type="dxa"/>
            <w:gridSpan w:val="5"/>
            <w:tcBorders>
              <w:top w:val="single" w:color="auto" w:sz="4" w:space="0"/>
              <w:left w:val="nil"/>
              <w:bottom w:val="single" w:color="auto" w:sz="4" w:space="0"/>
              <w:right w:val="nil"/>
            </w:tcBorders>
            <w:noWrap w:val="0"/>
            <w:vAlign w:val="top"/>
          </w:tcPr>
          <w:p>
            <w:pPr>
              <w:rPr>
                <w:rFonts w:ascii="宋体" w:hAnsi="宋体" w:cs="宋体"/>
                <w:sz w:val="20"/>
                <w:szCs w:val="20"/>
              </w:rPr>
            </w:pPr>
            <w:r>
              <w:rPr>
                <w:rFonts w:hint="eastAsia" w:ascii="宋体" w:hAnsi="宋体" w:cs="宋体"/>
                <w:sz w:val="20"/>
                <w:szCs w:val="20"/>
                <w:lang w:eastAsia="zh-CN"/>
              </w:rPr>
              <w:t>规范老年食堂（助餐点）体系建设，激励老年食堂（助餐点）为更多的老年人提供服务，保障老年人就餐权益，满足更多老年人的就餐需求，确保老年人吃得好、吃得满意、吃得安全，又兼顾企业利益，实现互利共赢。</w:t>
            </w:r>
          </w:p>
        </w:tc>
        <w:tc>
          <w:tcPr>
            <w:tcW w:w="3344"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ascii="宋体" w:hAnsi="宋体" w:cs="宋体"/>
                <w:sz w:val="20"/>
                <w:szCs w:val="20"/>
                <w:lang w:eastAsia="zh-CN"/>
              </w:rPr>
              <w:t>规范老年食堂（助餐点）体系建设，激励老年食堂（助餐点）为更多的老年人提供服务，保障老年人就餐权益，满足更多老年人的就餐需求，确保老年人吃得好、吃得满意、吃得安全，又兼顾企业利益，实现互利共赢。</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865"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85"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5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5"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195"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8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建成后正常运营的老年食堂（助餐点），我市符合条件的就餐老年人。</w:t>
            </w:r>
          </w:p>
        </w:tc>
        <w:tc>
          <w:tcPr>
            <w:tcW w:w="88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7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11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eastAsia="zh-CN"/>
              </w:rPr>
              <w:t>建成后正常运营的老年食堂（助餐点），我市符合条件的就餐老年人。</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8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符合条件的进行发放</w:t>
            </w:r>
          </w:p>
        </w:tc>
        <w:tc>
          <w:tcPr>
            <w:tcW w:w="885" w:type="dxa"/>
            <w:tcBorders>
              <w:top w:val="nil"/>
              <w:left w:val="nil"/>
              <w:bottom w:val="single" w:color="auto" w:sz="4" w:space="0"/>
              <w:right w:val="single" w:color="auto" w:sz="4" w:space="0"/>
            </w:tcBorders>
            <w:noWrap w:val="0"/>
            <w:vAlign w:val="center"/>
          </w:tcPr>
          <w:p>
            <w:pPr>
              <w:rPr>
                <w:rFonts w:hint="default" w:ascii="宋体" w:hAnsi="宋体" w:cs="宋体"/>
                <w:sz w:val="20"/>
                <w:szCs w:val="20"/>
                <w:lang w:val="en-US"/>
              </w:rPr>
            </w:pPr>
            <w:r>
              <w:rPr>
                <w:rFonts w:hint="eastAsia" w:ascii="宋体" w:hAnsi="宋体" w:cs="宋体"/>
                <w:sz w:val="20"/>
                <w:szCs w:val="20"/>
                <w:lang w:val="en-US" w:eastAsia="zh-CN"/>
              </w:rPr>
              <w:t>10</w:t>
            </w:r>
          </w:p>
        </w:tc>
        <w:tc>
          <w:tcPr>
            <w:tcW w:w="7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1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符合条件的进行发放</w:t>
            </w:r>
          </w:p>
        </w:tc>
        <w:tc>
          <w:tcPr>
            <w:tcW w:w="623" w:type="dxa"/>
            <w:tcBorders>
              <w:top w:val="nil"/>
              <w:left w:val="nil"/>
              <w:bottom w:val="single" w:color="auto" w:sz="4" w:space="0"/>
              <w:right w:val="single" w:color="auto" w:sz="4" w:space="0"/>
            </w:tcBorders>
            <w:noWrap w:val="0"/>
            <w:vAlign w:val="center"/>
          </w:tcPr>
          <w:p>
            <w:pPr>
              <w:rPr>
                <w:rFonts w:hint="default" w:ascii="宋体" w:hAnsi="宋体" w:cs="宋体"/>
                <w:sz w:val="20"/>
                <w:szCs w:val="20"/>
                <w:lang w:val="en-US"/>
              </w:rPr>
            </w:pPr>
            <w:r>
              <w:rPr>
                <w:rFonts w:hint="eastAsia" w:ascii="宋体" w:hAnsi="宋体" w:cs="宋体"/>
                <w:sz w:val="20"/>
                <w:szCs w:val="20"/>
                <w:lang w:val="en-US" w:eastAsia="zh-CN"/>
              </w:rPr>
              <w:t>10</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8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及时发放</w:t>
            </w:r>
          </w:p>
        </w:tc>
        <w:tc>
          <w:tcPr>
            <w:tcW w:w="885" w:type="dxa"/>
            <w:tcBorders>
              <w:top w:val="nil"/>
              <w:left w:val="nil"/>
              <w:bottom w:val="single" w:color="auto" w:sz="4" w:space="0"/>
              <w:right w:val="single" w:color="auto" w:sz="4" w:space="0"/>
            </w:tcBorders>
            <w:noWrap w:val="0"/>
            <w:vAlign w:val="center"/>
          </w:tcPr>
          <w:p>
            <w:pPr>
              <w:rPr>
                <w:rFonts w:hint="default" w:ascii="宋体" w:hAnsi="宋体" w:cs="宋体"/>
                <w:sz w:val="20"/>
                <w:szCs w:val="20"/>
                <w:lang w:val="en-US"/>
              </w:rPr>
            </w:pPr>
            <w:r>
              <w:rPr>
                <w:rFonts w:hint="eastAsia" w:ascii="宋体" w:hAnsi="宋体" w:cs="宋体"/>
                <w:sz w:val="20"/>
                <w:szCs w:val="20"/>
                <w:lang w:val="en-US" w:eastAsia="zh-CN"/>
              </w:rPr>
              <w:t>10</w:t>
            </w:r>
          </w:p>
        </w:tc>
        <w:tc>
          <w:tcPr>
            <w:tcW w:w="7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1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及时发放</w:t>
            </w:r>
          </w:p>
        </w:tc>
        <w:tc>
          <w:tcPr>
            <w:tcW w:w="623" w:type="dxa"/>
            <w:tcBorders>
              <w:top w:val="nil"/>
              <w:left w:val="nil"/>
              <w:bottom w:val="single" w:color="auto" w:sz="4" w:space="0"/>
              <w:right w:val="single" w:color="auto" w:sz="4" w:space="0"/>
            </w:tcBorders>
            <w:noWrap w:val="0"/>
            <w:vAlign w:val="center"/>
          </w:tcPr>
          <w:p>
            <w:pPr>
              <w:rPr>
                <w:rFonts w:hint="default" w:ascii="宋体" w:hAnsi="宋体" w:cs="宋体"/>
                <w:sz w:val="20"/>
                <w:szCs w:val="20"/>
                <w:lang w:val="en-US"/>
              </w:rPr>
            </w:pPr>
            <w:r>
              <w:rPr>
                <w:rFonts w:hint="eastAsia" w:ascii="宋体" w:hAnsi="宋体" w:cs="宋体"/>
                <w:sz w:val="20"/>
                <w:szCs w:val="20"/>
                <w:lang w:val="en-US" w:eastAsia="zh-CN"/>
              </w:rPr>
              <w:t>10</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18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建设老年食堂（助餐点）体系，提升老人的幸福感和获得感。</w:t>
            </w:r>
          </w:p>
        </w:tc>
        <w:tc>
          <w:tcPr>
            <w:tcW w:w="88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75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达成预期指标。</w:t>
            </w:r>
          </w:p>
        </w:tc>
        <w:tc>
          <w:tcPr>
            <w:tcW w:w="88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1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建设老年食堂（助餐点）体系，提升老人的幸福感和获得感。</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达成预期指标。</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186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老年助餐服务机构运营良好，老年人满意度高。</w:t>
            </w:r>
          </w:p>
        </w:tc>
        <w:tc>
          <w:tcPr>
            <w:tcW w:w="885"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c>
          <w:tcPr>
            <w:tcW w:w="75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95%以上</w:t>
            </w:r>
          </w:p>
        </w:tc>
        <w:tc>
          <w:tcPr>
            <w:tcW w:w="885"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19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老年助餐服务机构运营良好，老年人满意度高。</w:t>
            </w:r>
          </w:p>
        </w:tc>
        <w:tc>
          <w:tcPr>
            <w:tcW w:w="623" w:type="dxa"/>
            <w:tcBorders>
              <w:top w:val="nil"/>
              <w:left w:val="nil"/>
              <w:bottom w:val="single" w:color="auto" w:sz="4" w:space="0"/>
              <w:right w:val="single" w:color="auto" w:sz="4" w:space="0"/>
            </w:tcBorders>
            <w:noWrap w:val="0"/>
            <w:vAlign w:val="center"/>
          </w:tcPr>
          <w:p>
            <w:pPr>
              <w:jc w:val="both"/>
              <w:rPr>
                <w:rFonts w:hint="default" w:ascii="宋体" w:hAnsi="宋体" w:eastAsia="宋体" w:cs="宋体"/>
                <w:sz w:val="20"/>
                <w:szCs w:val="20"/>
                <w:lang w:val="en-US" w:eastAsia="zh-CN"/>
              </w:rPr>
            </w:pPr>
            <w:r>
              <w:rPr>
                <w:rFonts w:hint="eastAsia" w:ascii="宋体" w:hAnsi="宋体" w:cs="宋体"/>
                <w:sz w:val="20"/>
                <w:szCs w:val="20"/>
                <w:lang w:val="en-US" w:eastAsia="zh-CN"/>
              </w:rPr>
              <w:t>20</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ascii="宋体" w:hAnsi="宋体" w:cs="宋体"/>
                <w:sz w:val="20"/>
                <w:szCs w:val="20"/>
                <w:lang w:val="en-US" w:eastAsia="zh-CN"/>
              </w:rPr>
              <w:t>95%以上</w:t>
            </w:r>
          </w:p>
        </w:tc>
      </w:tr>
    </w:tbl>
    <w:p>
      <w:pPr>
        <w:adjustRightInd w:val="0"/>
        <w:snapToGrid w:val="0"/>
        <w:spacing w:line="600" w:lineRule="exact"/>
        <w:ind w:firstLine="803" w:firstLineChars="250"/>
        <w:rPr>
          <w:rFonts w:ascii="仿宋_GB2312" w:hAnsi="楷体" w:eastAsia="仿宋_GB2312"/>
          <w:b/>
          <w:color w:val="000000"/>
          <w:sz w:val="32"/>
          <w:szCs w:val="32"/>
        </w:rPr>
      </w:pPr>
      <w:r>
        <w:rPr>
          <w:rFonts w:hint="eastAsia" w:ascii="仿宋_GB2312" w:hAnsi="楷体" w:eastAsia="仿宋_GB2312"/>
          <w:b/>
          <w:color w:val="000000"/>
          <w:sz w:val="32"/>
          <w:szCs w:val="32"/>
          <w:lang w:val="en-US" w:eastAsia="zh-CN"/>
        </w:rPr>
        <w:t>11.</w:t>
      </w:r>
      <w:r>
        <w:rPr>
          <w:rFonts w:hint="eastAsia" w:ascii="仿宋_GB2312" w:hAnsi="楷体" w:eastAsia="仿宋_GB2312"/>
          <w:b/>
          <w:color w:val="000000"/>
          <w:sz w:val="32"/>
          <w:szCs w:val="32"/>
        </w:rPr>
        <w:t>“</w:t>
      </w:r>
      <w:r>
        <w:rPr>
          <w:rFonts w:hint="eastAsia" w:ascii="仿宋_GB2312" w:hAnsi="楷体" w:eastAsia="仿宋_GB2312"/>
          <w:b/>
          <w:color w:val="000000"/>
          <w:sz w:val="32"/>
          <w:szCs w:val="32"/>
          <w:lang w:val="en-US" w:eastAsia="zh-CN"/>
        </w:rPr>
        <w:t>社会工作建设经费</w:t>
      </w:r>
      <w:r>
        <w:rPr>
          <w:rFonts w:hint="eastAsia" w:ascii="仿宋_GB2312" w:hAnsi="楷体" w:eastAsia="仿宋_GB2312"/>
          <w:b/>
          <w:color w:val="000000"/>
          <w:sz w:val="32"/>
          <w:szCs w:val="32"/>
        </w:rPr>
        <w:t>”项目。</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大力发展社会事业，造就一支数量充足、结构合理、素质优良的社会工作专业人才队伍，充分发挥他们在困难救助、矛盾调处、人文关怀、心理疏导、行为矫治等个性化、多样化服务方面的专业优势，对解决社会问题、应对社会风险促进社会和谐、推动社会发展具有重要基础性作用。</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关于对参加并通过全国社会工作者职业水平考试人员进行一次性奖励的实施办法</w:t>
      </w:r>
      <w:r>
        <w:rPr>
          <w:rFonts w:hint="eastAsia" w:ascii="仿宋_GB2312" w:hAnsi="宋体" w:eastAsia="仿宋_GB2312" w:cs="仿宋_GB2312"/>
          <w:sz w:val="32"/>
          <w:szCs w:val="32"/>
        </w:rPr>
        <w:t>（淮民组〔2021〕14号）</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（3）实施主体。淮北市民政局慈社科</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rPr>
        <w:t>2024年1月—2024年12月</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（5）项目内容。对专业社工一次性奖励，提高工作积极性，增强社会认同感。对当年通过社工师考试的人员（100人左右）给予一次性奖励金3万元。</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（6）年度预算安排。</w:t>
      </w:r>
      <w:r>
        <w:rPr>
          <w:rFonts w:hint="eastAsia" w:ascii="仿宋_GB2312" w:hAnsi="仿宋" w:eastAsia="仿宋_GB2312"/>
          <w:sz w:val="32"/>
          <w:szCs w:val="32"/>
        </w:rPr>
        <w:t>按进度支出。</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（7）绩效目标。</w:t>
      </w:r>
    </w:p>
    <w:p>
      <w:pPr>
        <w:adjustRightInd w:val="0"/>
        <w:snapToGrid w:val="0"/>
        <w:spacing w:line="600" w:lineRule="exact"/>
        <w:ind w:firstLine="640" w:firstLineChars="200"/>
        <w:rPr>
          <w:rFonts w:ascii="仿宋_GB2312" w:hAnsi="楷体" w:eastAsia="仿宋_GB2312"/>
          <w:sz w:val="32"/>
          <w:szCs w:val="32"/>
        </w:rPr>
      </w:pP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ind w:firstLine="3196" w:firstLineChars="995"/>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（2024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color w:val="000000"/>
                <w:sz w:val="20"/>
                <w:szCs w:val="20"/>
              </w:rPr>
              <w:t>政府购买社会工作服务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市民政局慈社科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经常性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3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3　</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3</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3</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中期目标（2024年1月—2024年12月）</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rPr>
                <w:rFonts w:hint="eastAsia"/>
                <w:sz w:val="20"/>
                <w:szCs w:val="20"/>
              </w:rPr>
            </w:pPr>
          </w:p>
          <w:p>
            <w:pPr>
              <w:rPr>
                <w:sz w:val="20"/>
                <w:szCs w:val="20"/>
              </w:rPr>
            </w:pPr>
            <w:r>
              <w:rPr>
                <w:rFonts w:hint="eastAsia"/>
                <w:sz w:val="20"/>
                <w:szCs w:val="20"/>
              </w:rPr>
              <w:t>目标1：给予通过当年社工师考试人才一次性奖励</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sz w:val="20"/>
                <w:szCs w:val="20"/>
              </w:rPr>
              <w:t>目标1：给予通过当年社工师考试人才一次性奖励</w:t>
            </w:r>
          </w:p>
        </w:tc>
      </w:tr>
      <w:tr>
        <w:tblPrEx>
          <w:tblCellMar>
            <w:top w:w="0" w:type="dxa"/>
            <w:left w:w="108" w:type="dxa"/>
            <w:bottom w:w="0" w:type="dxa"/>
            <w:right w:w="108" w:type="dxa"/>
          </w:tblCellMar>
        </w:tblPrEx>
        <w:trPr>
          <w:trHeight w:val="905"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left w:val="single" w:color="auto" w:sz="4" w:space="0"/>
              <w:bottom w:val="single" w:color="000000"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数量指标</w:t>
            </w:r>
          </w:p>
        </w:tc>
        <w:tc>
          <w:tcPr>
            <w:tcW w:w="2000" w:type="dxa"/>
            <w:tcBorders>
              <w:top w:val="nil"/>
              <w:left w:val="nil"/>
              <w:bottom w:val="single" w:color="auto" w:sz="4" w:space="0"/>
              <w:right w:val="single" w:color="auto" w:sz="4" w:space="0"/>
            </w:tcBorders>
            <w:noWrap w:val="0"/>
            <w:vAlign w:val="center"/>
          </w:tcPr>
          <w:p>
            <w:pPr>
              <w:ind w:firstLine="100" w:firstLineChars="50"/>
              <w:rPr>
                <w:rFonts w:hint="eastAsia"/>
                <w:sz w:val="20"/>
                <w:szCs w:val="20"/>
              </w:rPr>
            </w:pPr>
            <w:r>
              <w:rPr>
                <w:rFonts w:hint="eastAsia"/>
                <w:sz w:val="20"/>
                <w:szCs w:val="20"/>
              </w:rPr>
              <w:t>指标1</w:t>
            </w:r>
            <w:r>
              <w:rPr>
                <w:rFonts w:hint="eastAsia"/>
                <w:sz w:val="20"/>
                <w:szCs w:val="20"/>
                <w:lang w:eastAsia="zh-CN"/>
              </w:rPr>
              <w:t>：</w:t>
            </w:r>
            <w:r>
              <w:rPr>
                <w:rFonts w:hint="eastAsia"/>
                <w:sz w:val="20"/>
                <w:szCs w:val="20"/>
              </w:rPr>
              <w:t>一次性奖金发放人数</w:t>
            </w:r>
          </w:p>
        </w:tc>
        <w:tc>
          <w:tcPr>
            <w:tcW w:w="860" w:type="dxa"/>
            <w:tcBorders>
              <w:top w:val="nil"/>
              <w:left w:val="nil"/>
              <w:bottom w:val="single" w:color="auto" w:sz="4" w:space="0"/>
              <w:right w:val="single" w:color="auto" w:sz="4" w:space="0"/>
            </w:tcBorders>
            <w:noWrap w:val="0"/>
            <w:vAlign w:val="center"/>
          </w:tcPr>
          <w:p>
            <w:pPr>
              <w:rPr>
                <w:rFonts w:hint="eastAsia"/>
                <w:sz w:val="20"/>
                <w:szCs w:val="20"/>
              </w:rPr>
            </w:pPr>
            <w:r>
              <w:rPr>
                <w:rFonts w:hint="eastAsia"/>
                <w:sz w:val="20"/>
                <w:szCs w:val="20"/>
              </w:rPr>
              <w:t>346人</w:t>
            </w:r>
          </w:p>
        </w:tc>
        <w:tc>
          <w:tcPr>
            <w:tcW w:w="791" w:type="dxa"/>
            <w:tcBorders>
              <w:top w:val="nil"/>
              <w:left w:val="nil"/>
              <w:bottom w:val="single" w:color="auto" w:sz="4" w:space="0"/>
              <w:right w:val="single" w:color="auto" w:sz="4" w:space="0"/>
            </w:tcBorders>
            <w:noWrap w:val="0"/>
            <w:vAlign w:val="center"/>
          </w:tcPr>
          <w:p>
            <w:pPr>
              <w:rPr>
                <w:rFonts w:hint="eastAsia"/>
                <w:sz w:val="20"/>
                <w:szCs w:val="20"/>
              </w:rPr>
            </w:pPr>
            <w:r>
              <w:rPr>
                <w:rFonts w:hint="eastAsia"/>
                <w:sz w:val="20"/>
                <w:szCs w:val="20"/>
              </w:rPr>
              <w:t>346人</w:t>
            </w:r>
          </w:p>
        </w:tc>
        <w:tc>
          <w:tcPr>
            <w:tcW w:w="889" w:type="dxa"/>
            <w:tcBorders>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1040" w:type="dxa"/>
            <w:tcBorders>
              <w:top w:val="nil"/>
              <w:left w:val="nil"/>
              <w:bottom w:val="single" w:color="auto" w:sz="4" w:space="0"/>
              <w:right w:val="single" w:color="auto" w:sz="4" w:space="0"/>
            </w:tcBorders>
            <w:noWrap w:val="0"/>
            <w:vAlign w:val="center"/>
          </w:tcPr>
          <w:p>
            <w:pPr>
              <w:ind w:firstLine="100" w:firstLineChars="50"/>
              <w:rPr>
                <w:rFonts w:hint="eastAsia"/>
                <w:sz w:val="20"/>
                <w:szCs w:val="20"/>
              </w:rPr>
            </w:pPr>
            <w:r>
              <w:rPr>
                <w:rFonts w:hint="eastAsia"/>
                <w:sz w:val="20"/>
                <w:szCs w:val="20"/>
              </w:rPr>
              <w:t>指标1：一次性奖金发放人数</w:t>
            </w:r>
          </w:p>
        </w:tc>
        <w:tc>
          <w:tcPr>
            <w:tcW w:w="623" w:type="dxa"/>
            <w:tcBorders>
              <w:top w:val="nil"/>
              <w:left w:val="nil"/>
              <w:bottom w:val="single" w:color="auto" w:sz="4" w:space="0"/>
              <w:right w:val="single" w:color="auto" w:sz="4" w:space="0"/>
            </w:tcBorders>
            <w:noWrap w:val="0"/>
            <w:vAlign w:val="center"/>
          </w:tcPr>
          <w:p>
            <w:pPr>
              <w:rPr>
                <w:rFonts w:hint="eastAsia"/>
                <w:sz w:val="20"/>
                <w:szCs w:val="20"/>
              </w:rPr>
            </w:pPr>
            <w:r>
              <w:rPr>
                <w:rFonts w:hint="eastAsia"/>
                <w:sz w:val="20"/>
                <w:szCs w:val="20"/>
              </w:rPr>
              <w:t>346人</w:t>
            </w:r>
          </w:p>
        </w:tc>
        <w:tc>
          <w:tcPr>
            <w:tcW w:w="641" w:type="dxa"/>
            <w:tcBorders>
              <w:top w:val="nil"/>
              <w:left w:val="nil"/>
              <w:bottom w:val="single" w:color="auto" w:sz="4" w:space="0"/>
              <w:right w:val="single" w:color="auto" w:sz="4" w:space="0"/>
            </w:tcBorders>
            <w:noWrap w:val="0"/>
            <w:vAlign w:val="center"/>
          </w:tcPr>
          <w:p>
            <w:pPr>
              <w:rPr>
                <w:rFonts w:hint="eastAsia"/>
                <w:sz w:val="20"/>
                <w:szCs w:val="20"/>
              </w:rPr>
            </w:pPr>
            <w:r>
              <w:rPr>
                <w:rFonts w:hint="eastAsia"/>
                <w:sz w:val="20"/>
                <w:szCs w:val="20"/>
              </w:rPr>
              <w:t>346人</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指标1：满足需求，保质完成</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高质完成</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高质完成</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指标1：保质完成</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高质完成</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高质完成</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指标1：按时完成</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按时完成</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按时完成</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指标1：按时完成</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按时完成</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按时完成</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指标1：控制成本</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成本经费内完成</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成本经费内完成</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指标1：控制成本</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成本经费内完成</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成本经费内完成</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sz w:val="18"/>
                <w:szCs w:val="18"/>
              </w:rPr>
              <w:t>社会工作专业性得到认可</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社会认可度较高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社会认可度较高　</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r>
              <w:rPr>
                <w:rFonts w:hint="eastAsia"/>
                <w:sz w:val="18"/>
                <w:szCs w:val="18"/>
              </w:rPr>
              <w:t>社会工作专业性得到认可</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社会认可度较高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社会认可度较高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889"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指标1：社会工作的社会认同感增强，</w:t>
            </w:r>
            <w:r>
              <w:rPr>
                <w:rFonts w:hint="eastAsia" w:ascii="宋体" w:hAnsi="宋体" w:cs="宋体"/>
                <w:color w:val="000000"/>
                <w:kern w:val="0"/>
                <w:sz w:val="18"/>
                <w:szCs w:val="18"/>
              </w:rPr>
              <w:t>对提高社会工作服务的影响成效显著</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成效显著　</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成效显著　</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指标1：服务对象满意度</w:t>
            </w:r>
          </w:p>
        </w:tc>
        <w:tc>
          <w:tcPr>
            <w:tcW w:w="86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满意度</w:t>
            </w:r>
          </w:p>
        </w:tc>
        <w:tc>
          <w:tcPr>
            <w:tcW w:w="79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≥95%</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104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指标1：服务对象满意度</w:t>
            </w:r>
          </w:p>
        </w:tc>
        <w:tc>
          <w:tcPr>
            <w:tcW w:w="62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满意度</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18"/>
                <w:szCs w:val="18"/>
              </w:rPr>
            </w:pPr>
            <w:r>
              <w:rPr>
                <w:rFonts w:hint="eastAsia"/>
                <w:sz w:val="18"/>
                <w:szCs w:val="18"/>
              </w:rPr>
              <w:t>≥95%</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12.</w:t>
      </w:r>
      <w:r>
        <w:rPr>
          <w:rFonts w:hint="eastAsia" w:ascii="仿宋_GB2312" w:hAnsi="楷体" w:eastAsia="仿宋_GB2312"/>
          <w:b/>
          <w:sz w:val="32"/>
          <w:szCs w:val="32"/>
        </w:rPr>
        <w:t>“弱势群体第三方服务关爱”项目。</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1）项目概述。根据民政部、财政部等10部委下发的《关于进一步健全农村留守儿童和困境儿童关爱服务体系的意见》（国发〔2019〕34号），安徽省人民政府办公厅《关于进一步加强困境儿童保障和农村留守儿童关爱保护工作的意见》（皖政办〔2020〕1号）等文件精神，为贯彻国务院、省市各级政府对农村留守儿童工作要求，落实关爱保护措施，</w:t>
      </w:r>
      <w:r>
        <w:rPr>
          <w:rFonts w:hint="eastAsia" w:ascii="仿宋_GB2312" w:hAnsi="楷体" w:eastAsia="仿宋_GB2312"/>
          <w:sz w:val="32"/>
          <w:szCs w:val="32"/>
          <w:lang w:eastAsia="zh-CN"/>
        </w:rPr>
        <w:t>市民政局通过购买服务，为农村留守儿童提供更专业的服务。</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（2）立项依据。《中华人民共和国未成年人保护法</w:t>
      </w:r>
      <w:r>
        <w:rPr>
          <w:rFonts w:hint="eastAsia" w:ascii="仿宋_GB2312" w:hAnsi="楷体" w:eastAsia="仿宋_GB2312"/>
          <w:sz w:val="32"/>
          <w:szCs w:val="32"/>
          <w:lang w:eastAsia="zh-CN"/>
        </w:rPr>
        <w:t>》《</w:t>
      </w:r>
      <w:r>
        <w:rPr>
          <w:rFonts w:hint="eastAsia" w:ascii="仿宋_GB2312" w:hAnsi="楷体" w:eastAsia="仿宋_GB2312"/>
          <w:sz w:val="32"/>
          <w:szCs w:val="32"/>
        </w:rPr>
        <w:t>国务院关于加强农村留守儿童关爱保护工作的意见》（国发〔2016〕13 号）、《关于进一步健全农村留守儿童和困境儿童关爱服务体系的意见》（国发〔2019〕34号）“三、鼓励和引导社会力量广泛参与  （二）推进政府购买服务。各地要将农村留守儿童关爱保护和困境儿童保障纳入政府购买服务指导性目录，并结合实际需要做好资金保障，重点购买热线运行、监护评估、精准帮扶、政策宣传、业务培训、家庭探访等关爱服务。”“四、强化工作保障（二）提供资金支持。各级财政部门要结合实际需要，做好农村留守儿童关爱保护服务经费。”</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安徽省人民政府办公厅《关于进一步加强困境儿童保障和农村留守儿童关爱保护工作的意见》（皖政办〔2020〕1号）“三、保障措施  （二）明确部门职责  财政部门要将困境儿童和农村留守儿童关爱保护经费纳入地方财政预算。（四）创新工作方式  加大购买困境儿童和农村留守儿童家庭探访、监护评估、心理疏导、行为矫治、宣传教育等服务的力度。”</w:t>
      </w:r>
    </w:p>
    <w:p>
      <w:pPr>
        <w:adjustRightInd w:val="0"/>
        <w:snapToGrid w:val="0"/>
        <w:spacing w:line="600" w:lineRule="exact"/>
        <w:ind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lang w:eastAsia="zh-CN"/>
        </w:rPr>
        <w:t>根据《安徽省农村留守儿童和困境儿童关爱服务项目库建设指引（试行）》的通知要求，市县两级民政部门及未成年人救助保护中心面向农村留守儿童和困境儿童提供的关爱服务项目。</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（3）实施主体。社会事务与儿童福利科</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（4）起止时间。</w:t>
      </w:r>
      <w:r>
        <w:rPr>
          <w:rFonts w:hint="eastAsia" w:ascii="仿宋_GB2312" w:hAnsi="仿宋" w:eastAsia="仿宋_GB2312"/>
          <w:sz w:val="32"/>
          <w:szCs w:val="32"/>
          <w:lang w:val="en-US" w:eastAsia="zh-CN"/>
        </w:rPr>
        <w:t>2024年1月-2026年12月</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（5）项目内容。</w:t>
      </w:r>
      <w:r>
        <w:rPr>
          <w:rFonts w:hint="eastAsia" w:ascii="仿宋_GB2312" w:hAnsi="仿宋" w:eastAsia="仿宋_GB2312"/>
          <w:sz w:val="32"/>
          <w:szCs w:val="32"/>
          <w:lang w:eastAsia="zh-CN"/>
        </w:rPr>
        <w:t>根据国家、省、市相关工作要求，对农村留守妇女、留守儿童及社区精神障碍患者提供心理关爱、帮扶救助等服务</w:t>
      </w:r>
      <w:r>
        <w:rPr>
          <w:rFonts w:hint="eastAsia" w:ascii="仿宋_GB2312" w:hAnsi="仿宋" w:eastAsia="仿宋_GB2312"/>
          <w:sz w:val="32"/>
          <w:szCs w:val="32"/>
        </w:rPr>
        <w:t>，</w:t>
      </w:r>
      <w:r>
        <w:rPr>
          <w:rFonts w:hint="eastAsia" w:ascii="仿宋_GB2312" w:hAnsi="仿宋" w:eastAsia="仿宋_GB2312"/>
          <w:sz w:val="32"/>
          <w:szCs w:val="32"/>
          <w:lang w:eastAsia="zh-CN"/>
        </w:rPr>
        <w:t>截至目前，全市</w:t>
      </w:r>
      <w:r>
        <w:rPr>
          <w:rFonts w:hint="eastAsia" w:ascii="仿宋_GB2312" w:hAnsi="仿宋" w:eastAsia="仿宋_GB2312"/>
          <w:sz w:val="32"/>
          <w:szCs w:val="32"/>
          <w:lang w:val="en-US" w:eastAsia="zh-CN"/>
        </w:rPr>
        <w:t>农村留守儿童、孤儿、事实无人抚养儿童共计2000余人。淮北</w:t>
      </w:r>
      <w:r>
        <w:rPr>
          <w:rFonts w:hint="eastAsia" w:ascii="仿宋_GB2312" w:hAnsi="仿宋" w:eastAsia="仿宋_GB2312"/>
          <w:sz w:val="32"/>
          <w:szCs w:val="32"/>
        </w:rPr>
        <w:t>市民政部门</w:t>
      </w:r>
      <w:r>
        <w:rPr>
          <w:rFonts w:hint="eastAsia" w:ascii="仿宋_GB2312" w:hAnsi="仿宋" w:eastAsia="仿宋_GB2312"/>
          <w:sz w:val="32"/>
          <w:szCs w:val="32"/>
          <w:lang w:eastAsia="zh-CN"/>
        </w:rPr>
        <w:t>通过购买</w:t>
      </w:r>
      <w:r>
        <w:rPr>
          <w:rFonts w:hint="eastAsia" w:ascii="仿宋_GB2312" w:hAnsi="仿宋" w:eastAsia="仿宋_GB2312"/>
          <w:sz w:val="32"/>
          <w:szCs w:val="32"/>
        </w:rPr>
        <w:t>第三方机构</w:t>
      </w:r>
      <w:r>
        <w:rPr>
          <w:rFonts w:hint="eastAsia" w:ascii="仿宋_GB2312" w:hAnsi="仿宋" w:eastAsia="仿宋_GB2312"/>
          <w:sz w:val="32"/>
          <w:szCs w:val="32"/>
          <w:lang w:eastAsia="zh-CN"/>
        </w:rPr>
        <w:t>服务，</w:t>
      </w:r>
      <w:r>
        <w:rPr>
          <w:rFonts w:hint="eastAsia" w:ascii="仿宋_GB2312" w:hAnsi="仿宋" w:eastAsia="仿宋_GB2312"/>
          <w:sz w:val="32"/>
          <w:szCs w:val="32"/>
        </w:rPr>
        <w:t>开展以下工作：一是对镇办儿童督导员、村居儿童主任工作履职情况进行评测；二是对部分农村留守儿童和困境儿童开展探访慰问、监护评估，通过一定比例的抽样调查，为下一步工作方向提供材料支持，并及时对特殊案例进行跟踪了解</w:t>
      </w:r>
      <w:r>
        <w:rPr>
          <w:rFonts w:hint="eastAsia" w:ascii="仿宋_GB2312" w:hAnsi="仿宋" w:eastAsia="仿宋_GB2312"/>
          <w:sz w:val="32"/>
          <w:szCs w:val="32"/>
          <w:lang w:eastAsia="zh-CN"/>
        </w:rPr>
        <w:t>，以及</w:t>
      </w:r>
      <w:r>
        <w:rPr>
          <w:rFonts w:hint="eastAsia" w:ascii="仿宋_GB2312" w:hAnsi="仿宋" w:eastAsia="仿宋_GB2312"/>
          <w:sz w:val="32"/>
          <w:szCs w:val="32"/>
        </w:rPr>
        <w:t>开展相应的心理辅导等工作；三是通过街头宣传、讲座等形式，开展家庭监护责任落实、儿童安全教育</w:t>
      </w:r>
      <w:r>
        <w:rPr>
          <w:rFonts w:hint="eastAsia" w:ascii="仿宋_GB2312" w:hAnsi="仿宋" w:eastAsia="仿宋_GB2312"/>
          <w:sz w:val="32"/>
          <w:szCs w:val="32"/>
          <w:lang w:eastAsia="zh-CN"/>
        </w:rPr>
        <w:t>、牵手行动推进、预防未成年人违法犯罪、未成年人文身治理宣传</w:t>
      </w:r>
      <w:r>
        <w:rPr>
          <w:rFonts w:hint="eastAsia" w:ascii="仿宋_GB2312" w:hAnsi="仿宋" w:eastAsia="仿宋_GB2312"/>
          <w:sz w:val="32"/>
          <w:szCs w:val="32"/>
        </w:rPr>
        <w:t>以及青少年禁毒等各方面的宣传引导</w:t>
      </w:r>
      <w:r>
        <w:rPr>
          <w:rFonts w:hint="eastAsia" w:ascii="仿宋_GB2312" w:hAnsi="仿宋" w:eastAsia="仿宋_GB2312"/>
          <w:sz w:val="32"/>
          <w:szCs w:val="32"/>
          <w:lang w:eastAsia="zh-CN"/>
        </w:rPr>
        <w:t>；四是加强未成年人心理健康指导、宣传教育和个案介入</w:t>
      </w:r>
      <w:r>
        <w:rPr>
          <w:rFonts w:hint="eastAsia" w:ascii="仿宋_GB2312" w:hAnsi="仿宋" w:eastAsia="仿宋_GB2312"/>
          <w:sz w:val="32"/>
          <w:szCs w:val="32"/>
        </w:rPr>
        <w:t>。根据202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年此项工作开展情况，预计202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年农村留守儿童和困境儿童</w:t>
      </w:r>
      <w:r>
        <w:rPr>
          <w:rFonts w:hint="eastAsia" w:ascii="仿宋_GB2312" w:hAnsi="仿宋" w:eastAsia="仿宋_GB2312"/>
          <w:sz w:val="32"/>
          <w:szCs w:val="32"/>
          <w:lang w:eastAsia="zh-CN"/>
        </w:rPr>
        <w:t>走访</w:t>
      </w:r>
      <w:r>
        <w:rPr>
          <w:rFonts w:hint="eastAsia" w:ascii="仿宋_GB2312" w:hAnsi="仿宋" w:eastAsia="仿宋_GB2312"/>
          <w:sz w:val="32"/>
          <w:szCs w:val="32"/>
        </w:rPr>
        <w:t>比例及宣传数量需增加，第三方服务项目费用</w:t>
      </w:r>
      <w:r>
        <w:rPr>
          <w:rFonts w:hint="eastAsia" w:ascii="仿宋_GB2312" w:hAnsi="仿宋" w:eastAsia="仿宋_GB2312"/>
          <w:sz w:val="32"/>
          <w:szCs w:val="32"/>
          <w:lang w:eastAsia="zh-CN"/>
        </w:rPr>
        <w:t>共需</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0</w:t>
      </w:r>
      <w:r>
        <w:rPr>
          <w:rFonts w:hint="eastAsia" w:ascii="仿宋_GB2312" w:hAnsi="仿宋" w:eastAsia="仿宋_GB2312"/>
          <w:sz w:val="32"/>
          <w:szCs w:val="32"/>
        </w:rPr>
        <w:t>万元。</w:t>
      </w:r>
    </w:p>
    <w:p>
      <w:pPr>
        <w:adjustRightInd w:val="0"/>
        <w:snapToGrid w:val="0"/>
        <w:spacing w:line="600" w:lineRule="exact"/>
        <w:ind w:firstLine="640" w:firstLineChars="200"/>
        <w:rPr>
          <w:rFonts w:hint="eastAsia" w:ascii="仿宋_GB2312" w:hAnsi="仿宋" w:eastAsia="仿宋_GB2312"/>
          <w:sz w:val="32"/>
          <w:szCs w:val="32"/>
          <w:lang w:eastAsia="zh-CN"/>
        </w:rPr>
      </w:pPr>
      <w:r>
        <w:rPr>
          <w:rFonts w:hint="eastAsia" w:ascii="仿宋_GB2312" w:hAnsi="楷体" w:eastAsia="仿宋_GB2312"/>
          <w:sz w:val="32"/>
          <w:szCs w:val="32"/>
        </w:rPr>
        <w:t>（6）年度预算安排。</w:t>
      </w:r>
      <w:r>
        <w:rPr>
          <w:rFonts w:hint="eastAsia" w:ascii="仿宋_GB2312" w:hAnsi="仿宋" w:eastAsia="仿宋_GB2312"/>
          <w:sz w:val="32"/>
          <w:szCs w:val="32"/>
          <w:lang w:eastAsia="zh-CN"/>
        </w:rPr>
        <w:t>通过公开招标，购买第三方服务。由第三方机构为农村留守儿童安全知识宣讲、</w:t>
      </w:r>
      <w:r>
        <w:rPr>
          <w:rFonts w:hint="eastAsia" w:ascii="仿宋_GB2312" w:hAnsi="楷体" w:eastAsia="仿宋_GB2312"/>
          <w:sz w:val="32"/>
          <w:szCs w:val="32"/>
        </w:rPr>
        <w:t>家庭探访、监护评估、心理疏导、行为矫治等服务</w:t>
      </w:r>
      <w:r>
        <w:rPr>
          <w:rFonts w:hint="eastAsia" w:ascii="仿宋_GB2312" w:hAnsi="楷体" w:eastAsia="仿宋_GB2312"/>
          <w:sz w:val="32"/>
          <w:szCs w:val="32"/>
          <w:lang w:eastAsia="zh-CN"/>
        </w:rPr>
        <w:t>。</w:t>
      </w:r>
      <w:r>
        <w:rPr>
          <w:rFonts w:hint="eastAsia" w:ascii="仿宋_GB2312" w:hAnsi="仿宋" w:eastAsia="仿宋_GB2312"/>
          <w:sz w:val="32"/>
          <w:szCs w:val="32"/>
        </w:rPr>
        <w:t>对镇办儿童督导员、村居儿童主任工作履职情况进行评测</w:t>
      </w:r>
      <w:r>
        <w:rPr>
          <w:rFonts w:hint="eastAsia" w:ascii="仿宋_GB2312" w:hAnsi="仿宋" w:eastAsia="仿宋_GB2312"/>
          <w:sz w:val="32"/>
          <w:szCs w:val="32"/>
          <w:lang w:eastAsia="zh-CN"/>
        </w:rPr>
        <w:t>。</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10"/>
        <w:tblW w:w="0" w:type="auto"/>
        <w:tblInd w:w="93" w:type="dxa"/>
        <w:tblLayout w:type="fixed"/>
        <w:tblCellMar>
          <w:top w:w="0" w:type="dxa"/>
          <w:left w:w="108" w:type="dxa"/>
          <w:bottom w:w="0" w:type="dxa"/>
          <w:right w:w="108" w:type="dxa"/>
        </w:tblCellMar>
      </w:tblPr>
      <w:tblGrid>
        <w:gridCol w:w="416"/>
        <w:gridCol w:w="670"/>
        <w:gridCol w:w="840"/>
        <w:gridCol w:w="6"/>
        <w:gridCol w:w="729"/>
        <w:gridCol w:w="1236"/>
        <w:gridCol w:w="904"/>
        <w:gridCol w:w="26"/>
        <w:gridCol w:w="904"/>
        <w:gridCol w:w="720"/>
        <w:gridCol w:w="1305"/>
        <w:gridCol w:w="1264"/>
      </w:tblGrid>
      <w:tr>
        <w:tblPrEx>
          <w:tblCellMar>
            <w:top w:w="0" w:type="dxa"/>
            <w:left w:w="108" w:type="dxa"/>
            <w:bottom w:w="0" w:type="dxa"/>
            <w:right w:w="108" w:type="dxa"/>
          </w:tblCellMar>
        </w:tblPrEx>
        <w:trPr>
          <w:trHeight w:val="360" w:hRule="atLeast"/>
        </w:trPr>
        <w:tc>
          <w:tcPr>
            <w:tcW w:w="9020" w:type="dxa"/>
            <w:gridSpan w:val="12"/>
            <w:tcBorders>
              <w:top w:val="nil"/>
              <w:left w:val="nil"/>
              <w:bottom w:val="nil"/>
              <w:right w:val="nil"/>
            </w:tcBorders>
            <w:noWrap w:val="0"/>
            <w:vAlign w:val="center"/>
          </w:tcPr>
          <w:p>
            <w:pPr>
              <w:jc w:val="center"/>
              <w:rPr>
                <w:rFonts w:hint="eastAsia"/>
                <w:b/>
                <w:bCs/>
                <w:sz w:val="32"/>
                <w:szCs w:val="32"/>
              </w:rPr>
            </w:pPr>
          </w:p>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2"/>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tblPrEx>
          <w:tblCellMar>
            <w:top w:w="0" w:type="dxa"/>
            <w:left w:w="108" w:type="dxa"/>
            <w:bottom w:w="0" w:type="dxa"/>
            <w:right w:w="108" w:type="dxa"/>
          </w:tblCellMar>
        </w:tblPrEx>
        <w:trPr>
          <w:trHeight w:val="330" w:hRule="atLeast"/>
        </w:trPr>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088"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color w:val="000000"/>
                <w:sz w:val="20"/>
                <w:szCs w:val="20"/>
              </w:rPr>
              <w:t>弱势群体第三方服务关爱项目　</w:t>
            </w:r>
          </w:p>
        </w:tc>
      </w:tr>
      <w:tr>
        <w:tblPrEx>
          <w:tblCellMar>
            <w:top w:w="0" w:type="dxa"/>
            <w:left w:w="108" w:type="dxa"/>
            <w:bottom w:w="0" w:type="dxa"/>
            <w:right w:w="108" w:type="dxa"/>
          </w:tblCellMar>
        </w:tblPrEx>
        <w:trPr>
          <w:trHeight w:val="330" w:hRule="atLeast"/>
        </w:trPr>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088"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lang w:eastAsia="zh-CN"/>
              </w:rPr>
              <w:t>市社会事务服务中心</w:t>
            </w: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93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088"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1932" w:type="dxa"/>
            <w:gridSpan w:val="4"/>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196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93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lang w:val="en-US" w:eastAsia="zh-CN"/>
              </w:rPr>
              <w:t>30</w:t>
            </w:r>
            <w:r>
              <w:rPr>
                <w:rFonts w:hint="eastAsia"/>
                <w:sz w:val="20"/>
                <w:szCs w:val="20"/>
              </w:rPr>
              <w:t>　</w:t>
            </w:r>
          </w:p>
        </w:tc>
        <w:tc>
          <w:tcPr>
            <w:tcW w:w="2929"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lang w:val="en-US" w:eastAsia="zh-CN"/>
              </w:rPr>
              <w:t>10</w:t>
            </w:r>
          </w:p>
        </w:tc>
      </w:tr>
      <w:tr>
        <w:tblPrEx>
          <w:tblCellMar>
            <w:top w:w="0" w:type="dxa"/>
            <w:left w:w="108" w:type="dxa"/>
            <w:bottom w:w="0" w:type="dxa"/>
            <w:right w:w="108" w:type="dxa"/>
          </w:tblCellMar>
        </w:tblPrEx>
        <w:trPr>
          <w:trHeight w:val="330" w:hRule="atLeast"/>
        </w:trPr>
        <w:tc>
          <w:tcPr>
            <w:tcW w:w="1932"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196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93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30</w:t>
            </w:r>
          </w:p>
        </w:tc>
        <w:tc>
          <w:tcPr>
            <w:tcW w:w="2929"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10</w:t>
            </w:r>
          </w:p>
        </w:tc>
      </w:tr>
      <w:tr>
        <w:tblPrEx>
          <w:tblCellMar>
            <w:top w:w="0" w:type="dxa"/>
            <w:left w:w="108" w:type="dxa"/>
            <w:bottom w:w="0" w:type="dxa"/>
            <w:right w:w="108" w:type="dxa"/>
          </w:tblCellMar>
        </w:tblPrEx>
        <w:trPr>
          <w:trHeight w:val="330" w:hRule="atLeast"/>
        </w:trPr>
        <w:tc>
          <w:tcPr>
            <w:tcW w:w="1932" w:type="dxa"/>
            <w:gridSpan w:val="4"/>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196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930"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c>
          <w:tcPr>
            <w:tcW w:w="2929"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4411" w:type="dxa"/>
            <w:gridSpan w:val="7"/>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w:t>
            </w:r>
            <w:r>
              <w:rPr>
                <w:rFonts w:hint="eastAsia"/>
                <w:sz w:val="20"/>
                <w:szCs w:val="20"/>
                <w:lang w:val="en-US" w:eastAsia="zh-CN"/>
              </w:rPr>
              <w:t>24</w:t>
            </w:r>
            <w:r>
              <w:rPr>
                <w:rFonts w:hint="eastAsia"/>
                <w:sz w:val="20"/>
                <w:szCs w:val="20"/>
              </w:rPr>
              <w:t>年—20</w:t>
            </w:r>
            <w:r>
              <w:rPr>
                <w:rFonts w:hint="eastAsia"/>
                <w:sz w:val="20"/>
                <w:szCs w:val="20"/>
                <w:lang w:val="en-US" w:eastAsia="zh-CN"/>
              </w:rPr>
              <w:t>26</w:t>
            </w:r>
            <w:r>
              <w:rPr>
                <w:rFonts w:hint="eastAsia"/>
                <w:sz w:val="20"/>
                <w:szCs w:val="20"/>
              </w:rPr>
              <w:t>年）</w:t>
            </w:r>
          </w:p>
        </w:tc>
        <w:tc>
          <w:tcPr>
            <w:tcW w:w="4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4411" w:type="dxa"/>
            <w:gridSpan w:val="7"/>
            <w:tcBorders>
              <w:top w:val="single" w:color="auto" w:sz="4" w:space="0"/>
              <w:left w:val="nil"/>
              <w:bottom w:val="single" w:color="auto" w:sz="4" w:space="0"/>
              <w:right w:val="nil"/>
            </w:tcBorders>
            <w:noWrap w:val="0"/>
            <w:vAlign w:val="top"/>
          </w:tcPr>
          <w:p>
            <w:pPr>
              <w:rPr>
                <w:rFonts w:ascii="宋体" w:hAnsi="宋体" w:cs="宋体"/>
                <w:sz w:val="20"/>
                <w:szCs w:val="20"/>
              </w:rPr>
            </w:pPr>
            <w:r>
              <w:rPr>
                <w:rFonts w:hint="eastAsia"/>
                <w:sz w:val="20"/>
                <w:szCs w:val="20"/>
              </w:rPr>
              <w:t xml:space="preserve"> 目标1</w:t>
            </w:r>
            <w:r>
              <w:rPr>
                <w:rFonts w:hint="eastAsia"/>
                <w:sz w:val="20"/>
                <w:szCs w:val="20"/>
                <w:lang w:eastAsia="zh-CN"/>
              </w:rPr>
              <w:t>：</w:t>
            </w:r>
            <w:r>
              <w:rPr>
                <w:rFonts w:hint="eastAsia"/>
                <w:sz w:val="20"/>
                <w:szCs w:val="20"/>
              </w:rPr>
              <w:t>完善</w:t>
            </w:r>
            <w:r>
              <w:rPr>
                <w:rFonts w:hint="eastAsia"/>
                <w:sz w:val="20"/>
                <w:szCs w:val="20"/>
                <w:lang w:eastAsia="zh-CN"/>
              </w:rPr>
              <w:t>弱势群体</w:t>
            </w:r>
            <w:r>
              <w:rPr>
                <w:rFonts w:hint="eastAsia"/>
                <w:sz w:val="20"/>
                <w:szCs w:val="20"/>
              </w:rPr>
              <w:t>关爱服务体系、健全工作机制、提升关爱服务能力，按照分类指导、突出重点的原则，面向广大</w:t>
            </w:r>
            <w:r>
              <w:rPr>
                <w:rFonts w:hint="eastAsia"/>
                <w:sz w:val="20"/>
                <w:szCs w:val="20"/>
                <w:lang w:eastAsia="zh-CN"/>
              </w:rPr>
              <w:t>农村留守儿童、孤儿、事实无人抚养儿童提供</w:t>
            </w:r>
            <w:r>
              <w:rPr>
                <w:rFonts w:hint="eastAsia"/>
                <w:sz w:val="20"/>
                <w:szCs w:val="20"/>
              </w:rPr>
              <w:t>相应关爱服务。</w:t>
            </w:r>
          </w:p>
        </w:tc>
        <w:tc>
          <w:tcPr>
            <w:tcW w:w="4193"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sz w:val="20"/>
                <w:szCs w:val="20"/>
              </w:rPr>
              <w:t xml:space="preserve"> 目标1：完善</w:t>
            </w:r>
            <w:r>
              <w:rPr>
                <w:rFonts w:hint="eastAsia"/>
                <w:sz w:val="20"/>
                <w:szCs w:val="20"/>
                <w:lang w:eastAsia="zh-CN"/>
              </w:rPr>
              <w:t>弱势群体</w:t>
            </w:r>
            <w:r>
              <w:rPr>
                <w:rFonts w:hint="eastAsia"/>
                <w:sz w:val="20"/>
                <w:szCs w:val="20"/>
              </w:rPr>
              <w:t>关爱服务体系、健全工作机制、提升关爱服务能力，按照分类指导、突出重点的原则，面向广大</w:t>
            </w:r>
            <w:r>
              <w:rPr>
                <w:rFonts w:hint="eastAsia"/>
                <w:sz w:val="20"/>
                <w:szCs w:val="20"/>
                <w:lang w:eastAsia="zh-CN"/>
              </w:rPr>
              <w:t>农村留守儿童、孤儿、事实无人抚养儿童提供</w:t>
            </w:r>
            <w:r>
              <w:rPr>
                <w:rFonts w:hint="eastAsia"/>
                <w:sz w:val="20"/>
                <w:szCs w:val="20"/>
              </w:rPr>
              <w:t>相应关爱服务。</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670"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8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1236"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930" w:type="dxa"/>
            <w:gridSpan w:val="2"/>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904"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1305"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1264"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7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val="en-US" w:eastAsia="zh-CN"/>
              </w:rPr>
            </w:pPr>
            <w:r>
              <w:rPr>
                <w:rFonts w:hint="eastAsia"/>
                <w:sz w:val="20"/>
                <w:szCs w:val="20"/>
              </w:rPr>
              <w:t>以实际服务人数为准</w:t>
            </w:r>
          </w:p>
        </w:tc>
        <w:tc>
          <w:tcPr>
            <w:tcW w:w="930"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val="en-US" w:eastAsia="zh-CN"/>
              </w:rPr>
            </w:pPr>
            <w:r>
              <w:rPr>
                <w:rFonts w:hint="eastAsia"/>
                <w:sz w:val="20"/>
                <w:szCs w:val="20"/>
              </w:rPr>
              <w:t>　以实际服务人数为准</w:t>
            </w:r>
          </w:p>
        </w:tc>
        <w:tc>
          <w:tcPr>
            <w:tcW w:w="904"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val="en-US" w:eastAsia="zh-CN"/>
              </w:rPr>
            </w:pPr>
            <w:r>
              <w:rPr>
                <w:rFonts w:hint="eastAsia"/>
                <w:sz w:val="20"/>
                <w:szCs w:val="20"/>
              </w:rPr>
              <w:t>以实际服务人数为准</w:t>
            </w:r>
          </w:p>
        </w:tc>
        <w:tc>
          <w:tcPr>
            <w:tcW w:w="1264"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val="en-US" w:eastAsia="zh-CN"/>
              </w:rPr>
            </w:pPr>
            <w:r>
              <w:rPr>
                <w:rFonts w:hint="eastAsia"/>
                <w:sz w:val="20"/>
                <w:szCs w:val="20"/>
              </w:rPr>
              <w:t>　以实际服务人数为准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宣传、培训</w:t>
            </w:r>
            <w:r>
              <w:rPr>
                <w:rFonts w:hint="eastAsia"/>
                <w:sz w:val="20"/>
                <w:szCs w:val="20"/>
                <w:lang w:eastAsia="zh-CN"/>
              </w:rPr>
              <w:t>、关爱服务</w:t>
            </w:r>
            <w:r>
              <w:rPr>
                <w:rFonts w:hint="eastAsia"/>
                <w:sz w:val="20"/>
                <w:szCs w:val="20"/>
              </w:rPr>
              <w:t>效果显著</w:t>
            </w:r>
          </w:p>
        </w:tc>
        <w:tc>
          <w:tcPr>
            <w:tcW w:w="90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服务能力有所提升</w:t>
            </w:r>
          </w:p>
        </w:tc>
        <w:tc>
          <w:tcPr>
            <w:tcW w:w="930"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宣传、培训</w:t>
            </w:r>
            <w:r>
              <w:rPr>
                <w:rFonts w:hint="eastAsia"/>
                <w:sz w:val="20"/>
                <w:szCs w:val="20"/>
                <w:lang w:eastAsia="zh-CN"/>
              </w:rPr>
              <w:t>、关爱服务</w:t>
            </w:r>
            <w:r>
              <w:rPr>
                <w:rFonts w:hint="eastAsia"/>
                <w:sz w:val="20"/>
                <w:szCs w:val="20"/>
              </w:rPr>
              <w:t>效果显著</w:t>
            </w:r>
          </w:p>
        </w:tc>
        <w:tc>
          <w:tcPr>
            <w:tcW w:w="1264"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rPr>
              <w:t>服务能力有所提升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为有需要的</w:t>
            </w:r>
            <w:r>
              <w:rPr>
                <w:rFonts w:hint="eastAsia"/>
                <w:sz w:val="20"/>
                <w:szCs w:val="20"/>
                <w:lang w:eastAsia="zh-CN"/>
              </w:rPr>
              <w:t>弱势群体</w:t>
            </w:r>
            <w:r>
              <w:rPr>
                <w:rFonts w:hint="eastAsia"/>
                <w:sz w:val="20"/>
                <w:szCs w:val="20"/>
              </w:rPr>
              <w:t>开展心理辅导、精神慰藉</w:t>
            </w:r>
            <w:r>
              <w:rPr>
                <w:rFonts w:hint="eastAsia"/>
                <w:sz w:val="20"/>
                <w:szCs w:val="20"/>
                <w:lang w:eastAsia="zh-CN"/>
              </w:rPr>
              <w:t>、社区康复</w:t>
            </w:r>
            <w:r>
              <w:rPr>
                <w:rFonts w:hint="eastAsia"/>
                <w:sz w:val="20"/>
                <w:szCs w:val="20"/>
              </w:rPr>
              <w:t>等专业服务</w:t>
            </w:r>
          </w:p>
        </w:tc>
        <w:tc>
          <w:tcPr>
            <w:tcW w:w="90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按时间节点完成各项工作</w:t>
            </w:r>
          </w:p>
        </w:tc>
        <w:tc>
          <w:tcPr>
            <w:tcW w:w="930"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sz w:val="20"/>
                <w:szCs w:val="20"/>
              </w:rPr>
              <w:t>　为有需要的</w:t>
            </w:r>
            <w:r>
              <w:rPr>
                <w:rFonts w:hint="eastAsia"/>
                <w:sz w:val="20"/>
                <w:szCs w:val="20"/>
                <w:lang w:eastAsia="zh-CN"/>
              </w:rPr>
              <w:t>弱势群体</w:t>
            </w:r>
            <w:r>
              <w:rPr>
                <w:rFonts w:hint="eastAsia"/>
                <w:sz w:val="20"/>
                <w:szCs w:val="20"/>
              </w:rPr>
              <w:t>开展心理辅导、精神慰藉</w:t>
            </w:r>
            <w:r>
              <w:rPr>
                <w:rFonts w:hint="eastAsia"/>
                <w:sz w:val="20"/>
                <w:szCs w:val="20"/>
                <w:lang w:eastAsia="zh-CN"/>
              </w:rPr>
              <w:t>、社区康复</w:t>
            </w:r>
            <w:r>
              <w:rPr>
                <w:rFonts w:hint="eastAsia"/>
                <w:sz w:val="20"/>
                <w:szCs w:val="20"/>
              </w:rPr>
              <w:t>等专业服务</w:t>
            </w:r>
          </w:p>
        </w:tc>
        <w:tc>
          <w:tcPr>
            <w:tcW w:w="12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按时间节点完成各项工作</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7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控制经费</w:t>
            </w:r>
          </w:p>
        </w:tc>
        <w:tc>
          <w:tcPr>
            <w:tcW w:w="90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成本范围内完成奖补工作</w:t>
            </w:r>
          </w:p>
        </w:tc>
        <w:tc>
          <w:tcPr>
            <w:tcW w:w="930"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控制经费</w:t>
            </w:r>
          </w:p>
        </w:tc>
        <w:tc>
          <w:tcPr>
            <w:tcW w:w="12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成本范围内完成奖补工作</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7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73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rPr>
              <w:t>服务体系不断完善</w:t>
            </w:r>
          </w:p>
        </w:tc>
        <w:tc>
          <w:tcPr>
            <w:tcW w:w="90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sz w:val="20"/>
                <w:szCs w:val="20"/>
                <w:lang w:eastAsia="zh-CN"/>
              </w:rPr>
              <w:t>弱势群体</w:t>
            </w:r>
            <w:r>
              <w:rPr>
                <w:rFonts w:hint="eastAsia"/>
                <w:sz w:val="20"/>
                <w:szCs w:val="20"/>
              </w:rPr>
              <w:t>服务</w:t>
            </w:r>
            <w:r>
              <w:rPr>
                <w:rFonts w:hint="eastAsia"/>
                <w:sz w:val="20"/>
                <w:szCs w:val="20"/>
                <w:lang w:eastAsia="zh-CN"/>
              </w:rPr>
              <w:t>保障</w:t>
            </w:r>
            <w:r>
              <w:rPr>
                <w:rFonts w:hint="eastAsia"/>
                <w:sz w:val="20"/>
                <w:szCs w:val="20"/>
              </w:rPr>
              <w:t>机制和服务体系建设完善　</w:t>
            </w:r>
          </w:p>
        </w:tc>
        <w:tc>
          <w:tcPr>
            <w:tcW w:w="930"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72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服务体系不断完善</w:t>
            </w:r>
          </w:p>
        </w:tc>
        <w:tc>
          <w:tcPr>
            <w:tcW w:w="12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w:t>
            </w:r>
            <w:r>
              <w:rPr>
                <w:rFonts w:hint="eastAsia"/>
                <w:sz w:val="20"/>
                <w:szCs w:val="20"/>
                <w:lang w:eastAsia="zh-CN"/>
              </w:rPr>
              <w:t>弱势群体</w:t>
            </w:r>
            <w:r>
              <w:rPr>
                <w:rFonts w:hint="eastAsia"/>
                <w:sz w:val="20"/>
                <w:szCs w:val="20"/>
              </w:rPr>
              <w:t>服务</w:t>
            </w:r>
            <w:r>
              <w:rPr>
                <w:rFonts w:hint="eastAsia"/>
                <w:sz w:val="20"/>
                <w:szCs w:val="20"/>
                <w:lang w:eastAsia="zh-CN"/>
              </w:rPr>
              <w:t>保障</w:t>
            </w:r>
            <w:r>
              <w:rPr>
                <w:rFonts w:hint="eastAsia"/>
                <w:sz w:val="20"/>
                <w:szCs w:val="20"/>
              </w:rPr>
              <w:t>机制和服务体系建设完善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7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73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工作开展有序推进　</w:t>
            </w:r>
          </w:p>
        </w:tc>
        <w:tc>
          <w:tcPr>
            <w:tcW w:w="90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持续为</w:t>
            </w:r>
            <w:r>
              <w:rPr>
                <w:rFonts w:hint="eastAsia"/>
                <w:sz w:val="20"/>
                <w:szCs w:val="20"/>
                <w:lang w:eastAsia="zh-CN"/>
              </w:rPr>
              <w:t>弱势群体</w:t>
            </w:r>
            <w:r>
              <w:rPr>
                <w:rFonts w:hint="eastAsia"/>
                <w:sz w:val="20"/>
                <w:szCs w:val="20"/>
              </w:rPr>
              <w:t>提供服务　</w:t>
            </w:r>
          </w:p>
        </w:tc>
        <w:tc>
          <w:tcPr>
            <w:tcW w:w="930"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72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工作开展有序推进　</w:t>
            </w:r>
          </w:p>
        </w:tc>
        <w:tc>
          <w:tcPr>
            <w:tcW w:w="12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持续为</w:t>
            </w:r>
            <w:r>
              <w:rPr>
                <w:rFonts w:hint="eastAsia"/>
                <w:sz w:val="20"/>
                <w:szCs w:val="20"/>
                <w:lang w:eastAsia="zh-CN"/>
              </w:rPr>
              <w:t>弱势群体</w:t>
            </w:r>
            <w:r>
              <w:rPr>
                <w:rFonts w:hint="eastAsia"/>
                <w:sz w:val="20"/>
                <w:szCs w:val="20"/>
              </w:rPr>
              <w:t>提供服务　</w:t>
            </w:r>
          </w:p>
        </w:tc>
      </w:tr>
      <w:tr>
        <w:tblPrEx>
          <w:tblCellMar>
            <w:top w:w="0" w:type="dxa"/>
            <w:left w:w="108" w:type="dxa"/>
            <w:bottom w:w="0" w:type="dxa"/>
            <w:right w:w="108" w:type="dxa"/>
          </w:tblCellMar>
        </w:tblPrEx>
        <w:trPr>
          <w:trHeight w:val="1203"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67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8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735"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236"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群众满意度</w:t>
            </w:r>
          </w:p>
        </w:tc>
        <w:tc>
          <w:tcPr>
            <w:tcW w:w="90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满意度≥80%</w:t>
            </w:r>
          </w:p>
        </w:tc>
        <w:tc>
          <w:tcPr>
            <w:tcW w:w="930" w:type="dxa"/>
            <w:gridSpan w:val="2"/>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72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指标1：</w:t>
            </w:r>
          </w:p>
        </w:tc>
        <w:tc>
          <w:tcPr>
            <w:tcW w:w="1305"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群众满意度</w:t>
            </w:r>
          </w:p>
        </w:tc>
        <w:tc>
          <w:tcPr>
            <w:tcW w:w="1264"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满意度≥80%</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rPr>
        <w:t>1</w:t>
      </w:r>
      <w:r>
        <w:rPr>
          <w:rFonts w:hint="eastAsia" w:ascii="仿宋_GB2312" w:hAnsi="楷体" w:eastAsia="仿宋_GB2312"/>
          <w:b/>
          <w:sz w:val="32"/>
          <w:szCs w:val="32"/>
          <w:lang w:val="en-US" w:eastAsia="zh-CN"/>
        </w:rPr>
        <w:t>3</w:t>
      </w:r>
      <w:r>
        <w:rPr>
          <w:rFonts w:hint="eastAsia" w:ascii="仿宋_GB2312" w:hAnsi="楷体" w:eastAsia="仿宋_GB2312"/>
          <w:b/>
          <w:sz w:val="32"/>
          <w:szCs w:val="32"/>
        </w:rPr>
        <w:t>.“</w:t>
      </w:r>
      <w:r>
        <w:rPr>
          <w:rFonts w:hint="eastAsia" w:ascii="仿宋_GB2312" w:hAnsi="楷体" w:eastAsia="仿宋_GB2312"/>
          <w:b/>
          <w:sz w:val="32"/>
          <w:szCs w:val="32"/>
          <w:lang w:eastAsia="zh-CN"/>
        </w:rPr>
        <w:t>特困供养机构能力建设补贴</w:t>
      </w:r>
      <w:r>
        <w:rPr>
          <w:rFonts w:hint="eastAsia" w:ascii="仿宋_GB2312" w:hAnsi="楷体" w:eastAsia="仿宋_GB2312"/>
          <w:b/>
          <w:sz w:val="32"/>
          <w:szCs w:val="32"/>
        </w:rPr>
        <w:t>”项目。</w:t>
      </w:r>
    </w:p>
    <w:p>
      <w:pPr>
        <w:adjustRightInd w:val="0"/>
        <w:snapToGrid w:val="0"/>
        <w:spacing w:line="600" w:lineRule="exact"/>
        <w:ind w:firstLine="640" w:firstLineChars="200"/>
        <w:rPr>
          <w:rFonts w:hint="eastAsia" w:ascii="仿宋_GB2312" w:hAnsi="楷体" w:eastAsia="仿宋_GB2312"/>
          <w:color w:val="0000FF"/>
          <w:sz w:val="32"/>
          <w:szCs w:val="32"/>
          <w:lang w:val="en-US" w:eastAsia="zh-CN"/>
        </w:rPr>
      </w:pPr>
      <w:r>
        <w:rPr>
          <w:rFonts w:hint="eastAsia" w:ascii="仿宋_GB2312" w:hAnsi="楷体" w:eastAsia="仿宋_GB2312"/>
          <w:sz w:val="32"/>
          <w:szCs w:val="32"/>
        </w:rPr>
        <w:t>（1）项目概述</w:t>
      </w:r>
      <w:r>
        <w:rPr>
          <w:rFonts w:hint="eastAsia" w:ascii="仿宋_GB2312" w:hAnsi="楷体" w:eastAsia="仿宋_GB2312"/>
          <w:sz w:val="32"/>
          <w:szCs w:val="32"/>
          <w:lang w:eastAsia="zh-CN"/>
        </w:rPr>
        <w:t>：发展农村养老服务，完善特困供养机构设施设备，</w:t>
      </w:r>
      <w:r>
        <w:rPr>
          <w:rFonts w:hint="eastAsia" w:ascii="仿宋_GB2312" w:hAnsi="楷体" w:eastAsia="仿宋_GB2312"/>
          <w:sz w:val="32"/>
          <w:szCs w:val="32"/>
          <w:lang w:val="en-US" w:eastAsia="zh-CN"/>
        </w:rPr>
        <w:t>优化特困供养机构环境，进一步提升失能半失能特困人员养护能力，强化公办养老机构兜底保障作用</w:t>
      </w:r>
      <w:r>
        <w:rPr>
          <w:rFonts w:hint="eastAsia" w:ascii="仿宋_GB2312" w:hAnsi="楷体" w:eastAsia="仿宋_GB2312"/>
          <w:color w:val="auto"/>
          <w:sz w:val="32"/>
          <w:szCs w:val="32"/>
          <w:lang w:val="en-US" w:eastAsia="zh-CN"/>
        </w:rPr>
        <w:t>，</w:t>
      </w:r>
      <w:r>
        <w:rPr>
          <w:rFonts w:hint="eastAsia" w:ascii="仿宋_GB2312" w:hAnsi="楷体" w:eastAsia="仿宋_GB2312"/>
          <w:color w:val="auto"/>
          <w:sz w:val="32"/>
          <w:szCs w:val="32"/>
          <w:lang w:eastAsia="zh-CN"/>
        </w:rPr>
        <w:t>我市现有特困供养机构2</w:t>
      </w:r>
      <w:r>
        <w:rPr>
          <w:rFonts w:hint="eastAsia" w:ascii="仿宋_GB2312" w:hAnsi="楷体" w:eastAsia="仿宋_GB2312"/>
          <w:color w:val="auto"/>
          <w:sz w:val="32"/>
          <w:szCs w:val="32"/>
          <w:lang w:val="en-US" w:eastAsia="zh-CN"/>
        </w:rPr>
        <w:t>1</w:t>
      </w:r>
      <w:r>
        <w:rPr>
          <w:rFonts w:hint="eastAsia" w:ascii="仿宋_GB2312" w:hAnsi="楷体" w:eastAsia="仿宋_GB2312"/>
          <w:color w:val="auto"/>
          <w:sz w:val="32"/>
          <w:szCs w:val="32"/>
          <w:lang w:eastAsia="zh-CN"/>
        </w:rPr>
        <w:t>个，每年全市新增护理型床位150张，满足失能半失能特困人员需求。每张护理型床2000元，</w:t>
      </w:r>
      <w:r>
        <w:rPr>
          <w:rFonts w:hint="eastAsia" w:ascii="仿宋_GB2312" w:hAnsi="楷体" w:eastAsia="仿宋_GB2312"/>
          <w:color w:val="auto"/>
          <w:sz w:val="32"/>
          <w:szCs w:val="32"/>
          <w:lang w:val="en-US" w:eastAsia="zh-CN"/>
        </w:rPr>
        <w:t>市级资金需</w:t>
      </w:r>
      <w:r>
        <w:rPr>
          <w:rFonts w:hint="eastAsia" w:ascii="仿宋_GB2312" w:hAnsi="楷体" w:eastAsia="仿宋_GB2312"/>
          <w:color w:val="auto"/>
          <w:sz w:val="32"/>
          <w:szCs w:val="32"/>
          <w:lang w:eastAsia="zh-CN"/>
        </w:rPr>
        <w:t>150*0.2万元=30万元。</w:t>
      </w:r>
    </w:p>
    <w:p>
      <w:pPr>
        <w:numPr>
          <w:ilvl w:val="0"/>
          <w:numId w:val="0"/>
        </w:numPr>
        <w:adjustRightInd w:val="0"/>
        <w:snapToGrid w:val="0"/>
        <w:spacing w:line="600" w:lineRule="exact"/>
        <w:ind w:left="210" w:leftChars="0" w:firstLine="640" w:firstLineChars="0"/>
        <w:rPr>
          <w:rFonts w:hint="eastAsia" w:ascii="仿宋_GB2312" w:hAnsi="楷体" w:eastAsia="仿宋_GB2312"/>
          <w:sz w:val="32"/>
          <w:szCs w:val="32"/>
          <w:lang w:eastAsia="zh-CN"/>
        </w:rPr>
      </w:pPr>
      <w:r>
        <w:rPr>
          <w:rFonts w:hint="eastAsia" w:ascii="仿宋_GB2312" w:hAnsi="楷体" w:eastAsia="仿宋_GB2312" w:cstheme="minorBidi"/>
          <w:kern w:val="2"/>
          <w:sz w:val="32"/>
          <w:szCs w:val="32"/>
          <w:lang w:val="en-US" w:eastAsia="zh-CN" w:bidi="ar-SA"/>
        </w:rPr>
        <w:t>（2）</w:t>
      </w:r>
      <w:r>
        <w:rPr>
          <w:rFonts w:hint="eastAsia" w:ascii="仿宋_GB2312" w:hAnsi="楷体" w:eastAsia="仿宋_GB2312"/>
          <w:sz w:val="32"/>
          <w:szCs w:val="32"/>
        </w:rPr>
        <w:t>立项依据</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1.</w:t>
      </w:r>
      <w:r>
        <w:rPr>
          <w:rFonts w:hint="eastAsia" w:ascii="仿宋_GB2312" w:hAnsi="楷体" w:eastAsia="仿宋_GB2312"/>
          <w:sz w:val="32"/>
          <w:szCs w:val="32"/>
          <w:lang w:eastAsia="zh-CN"/>
        </w:rPr>
        <w:t>省财政厅、民政厅《安徽省农村五保供养服务机构建设经费管理暂行办法》（财社〔2009〕260号）</w:t>
      </w:r>
      <w:r>
        <w:rPr>
          <w:rFonts w:hint="eastAsia" w:ascii="仿宋_GB2312" w:hAnsi="楷体" w:eastAsia="仿宋_GB2312"/>
          <w:sz w:val="32"/>
          <w:szCs w:val="32"/>
          <w:lang w:val="en-US" w:eastAsia="zh-CN"/>
        </w:rPr>
        <w:t>2.</w:t>
      </w:r>
      <w:r>
        <w:rPr>
          <w:rFonts w:hint="eastAsia" w:ascii="仿宋_GB2312" w:hAnsi="楷体" w:eastAsia="仿宋_GB2312"/>
          <w:sz w:val="32"/>
          <w:szCs w:val="32"/>
          <w:lang w:eastAsia="zh-CN"/>
        </w:rPr>
        <w:t>《淮北市加快提升失能半失能特困人员养护能力建设行动计划（2018—2020年）》。</w:t>
      </w:r>
      <w:r>
        <w:rPr>
          <w:rFonts w:hint="eastAsia" w:ascii="仿宋_GB2312" w:hAnsi="楷体" w:eastAsia="仿宋_GB2312"/>
          <w:sz w:val="32"/>
          <w:szCs w:val="32"/>
          <w:lang w:val="en-US" w:eastAsia="zh-CN"/>
        </w:rPr>
        <w:t>3.</w:t>
      </w:r>
      <w:r>
        <w:rPr>
          <w:rFonts w:hint="eastAsia" w:ascii="仿宋_GB2312" w:hAnsi="楷体" w:eastAsia="仿宋_GB2312"/>
          <w:sz w:val="32"/>
          <w:szCs w:val="32"/>
          <w:lang w:eastAsia="zh-CN"/>
        </w:rPr>
        <w:t>淮民社救〔2022〕5号：关于印发《淮北市城乡居民最低生活保障实施方案》等七项民生工程实施方案的通知。</w:t>
      </w:r>
      <w:r>
        <w:rPr>
          <w:rFonts w:hint="eastAsia" w:ascii="仿宋_GB2312" w:hAnsi="楷体" w:eastAsia="仿宋_GB2312"/>
          <w:sz w:val="32"/>
          <w:szCs w:val="32"/>
          <w:lang w:val="en-US" w:eastAsia="zh-CN"/>
        </w:rPr>
        <w:t>4.</w:t>
      </w:r>
      <w:r>
        <w:rPr>
          <w:rFonts w:hint="eastAsia" w:ascii="仿宋_GB2312" w:hAnsi="楷体" w:eastAsia="仿宋_GB2312"/>
          <w:sz w:val="32"/>
          <w:szCs w:val="32"/>
          <w:lang w:eastAsia="zh-CN"/>
        </w:rPr>
        <w:t>淮民办〔2021〕50号：淮北市“十四五”养老服务发展规划</w:t>
      </w:r>
    </w:p>
    <w:p>
      <w:pPr>
        <w:numPr>
          <w:ilvl w:val="0"/>
          <w:numId w:val="0"/>
        </w:numPr>
        <w:adjustRightInd w:val="0"/>
        <w:snapToGrid w:val="0"/>
        <w:spacing w:line="600" w:lineRule="exact"/>
        <w:ind w:left="210" w:leftChars="0" w:firstLine="640" w:firstLineChars="0"/>
        <w:rPr>
          <w:rFonts w:hint="eastAsia" w:ascii="仿宋_GB2312" w:hAnsi="楷体" w:eastAsia="仿宋_GB2312"/>
          <w:color w:val="auto"/>
          <w:sz w:val="32"/>
          <w:szCs w:val="32"/>
        </w:rPr>
      </w:pPr>
      <w:r>
        <w:rPr>
          <w:rFonts w:hint="eastAsia" w:ascii="仿宋_GB2312" w:hAnsi="楷体" w:eastAsia="仿宋_GB2312" w:cstheme="minorBidi"/>
          <w:color w:val="auto"/>
          <w:kern w:val="2"/>
          <w:sz w:val="32"/>
          <w:szCs w:val="32"/>
          <w:lang w:val="en-US" w:eastAsia="zh-CN" w:bidi="ar-SA"/>
        </w:rPr>
        <w:t>（3）</w:t>
      </w:r>
      <w:r>
        <w:rPr>
          <w:rFonts w:hint="eastAsia" w:ascii="仿宋_GB2312" w:hAnsi="楷体" w:eastAsia="仿宋_GB2312"/>
          <w:sz w:val="32"/>
          <w:szCs w:val="32"/>
        </w:rPr>
        <w:t>实施主体</w:t>
      </w:r>
      <w:r>
        <w:rPr>
          <w:rFonts w:hint="eastAsia" w:ascii="仿宋_GB2312" w:hAnsi="楷体" w:eastAsia="仿宋_GB2312"/>
          <w:color w:val="auto"/>
          <w:sz w:val="32"/>
          <w:szCs w:val="32"/>
          <w:lang w:eastAsia="zh-CN"/>
        </w:rPr>
        <w:t>：</w:t>
      </w:r>
      <w:r>
        <w:rPr>
          <w:rFonts w:hint="eastAsia" w:ascii="仿宋_GB2312" w:hAnsi="楷体" w:eastAsia="仿宋_GB2312"/>
          <w:color w:val="auto"/>
          <w:sz w:val="32"/>
          <w:szCs w:val="32"/>
        </w:rPr>
        <w:t>养老服务科</w:t>
      </w:r>
    </w:p>
    <w:p>
      <w:pPr>
        <w:numPr>
          <w:ilvl w:val="0"/>
          <w:numId w:val="0"/>
        </w:numPr>
        <w:adjustRightInd w:val="0"/>
        <w:snapToGrid w:val="0"/>
        <w:spacing w:line="600" w:lineRule="exact"/>
        <w:ind w:left="210" w:leftChars="0" w:firstLine="640" w:firstLineChars="0"/>
        <w:rPr>
          <w:rFonts w:hint="eastAsia" w:ascii="仿宋_GB2312" w:hAnsi="楷体" w:eastAsia="仿宋_GB2312"/>
          <w:sz w:val="32"/>
          <w:szCs w:val="32"/>
        </w:rPr>
      </w:pPr>
      <w:r>
        <w:rPr>
          <w:rFonts w:hint="eastAsia" w:ascii="仿宋_GB2312" w:hAnsi="楷体" w:eastAsia="仿宋_GB2312" w:cstheme="minorBidi"/>
          <w:kern w:val="2"/>
          <w:sz w:val="32"/>
          <w:szCs w:val="32"/>
          <w:lang w:val="en-US" w:eastAsia="zh-CN" w:bidi="ar-SA"/>
        </w:rPr>
        <w:t>（4）</w:t>
      </w:r>
      <w:r>
        <w:rPr>
          <w:rFonts w:hint="eastAsia" w:ascii="仿宋_GB2312" w:hAnsi="楷体" w:eastAsia="仿宋_GB2312"/>
          <w:sz w:val="32"/>
          <w:szCs w:val="32"/>
        </w:rPr>
        <w:t>起止时间</w:t>
      </w:r>
      <w:r>
        <w:rPr>
          <w:rFonts w:hint="eastAsia" w:ascii="仿宋_GB2312" w:hAnsi="楷体" w:eastAsia="仿宋_GB2312"/>
          <w:sz w:val="32"/>
          <w:szCs w:val="32"/>
          <w:lang w:eastAsia="zh-CN"/>
        </w:rPr>
        <w:t>：</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w:t>
      </w:r>
      <w:r>
        <w:rPr>
          <w:rFonts w:hint="eastAsia" w:ascii="仿宋_GB2312" w:hAnsi="楷体" w:eastAsia="仿宋_GB2312"/>
          <w:sz w:val="32"/>
          <w:szCs w:val="32"/>
        </w:rPr>
        <w:t>--202</w:t>
      </w:r>
      <w:r>
        <w:rPr>
          <w:rFonts w:hint="eastAsia" w:ascii="仿宋_GB2312" w:hAnsi="楷体" w:eastAsia="仿宋_GB2312"/>
          <w:sz w:val="32"/>
          <w:szCs w:val="32"/>
          <w:lang w:val="en-US" w:eastAsia="zh-CN"/>
        </w:rPr>
        <w:t>4.12</w:t>
      </w:r>
    </w:p>
    <w:p>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（5）</w:t>
      </w:r>
      <w:r>
        <w:rPr>
          <w:rFonts w:hint="eastAsia" w:ascii="仿宋_GB2312" w:hAnsi="楷体" w:eastAsia="仿宋_GB2312"/>
          <w:sz w:val="32"/>
          <w:szCs w:val="32"/>
        </w:rPr>
        <w:t>项目内容</w:t>
      </w:r>
      <w:r>
        <w:rPr>
          <w:rFonts w:hint="eastAsia" w:ascii="仿宋_GB2312" w:hAnsi="楷体" w:eastAsia="仿宋_GB2312"/>
          <w:sz w:val="32"/>
          <w:szCs w:val="32"/>
          <w:lang w:eastAsia="zh-CN"/>
        </w:rPr>
        <w:t>：通过给予特困供养机构一定的建设补贴，较好地提升特困供养机构设施设备水平，维护特困供养人员基本生活权益。</w:t>
      </w:r>
    </w:p>
    <w:p>
      <w:pPr>
        <w:numPr>
          <w:ilvl w:val="0"/>
          <w:numId w:val="0"/>
        </w:numPr>
        <w:adjustRightInd w:val="0"/>
        <w:snapToGrid w:val="0"/>
        <w:spacing w:line="600" w:lineRule="exact"/>
        <w:ind w:left="210" w:leftChars="0" w:firstLine="640" w:firstLineChars="0"/>
        <w:rPr>
          <w:rFonts w:hint="default" w:ascii="仿宋_GB2312" w:hAnsi="仿宋" w:eastAsia="仿宋_GB2312"/>
          <w:sz w:val="32"/>
          <w:szCs w:val="32"/>
          <w:lang w:val="en-US" w:eastAsia="zh-CN"/>
        </w:rPr>
      </w:pPr>
      <w:r>
        <w:rPr>
          <w:rFonts w:hint="default" w:ascii="仿宋_GB2312" w:hAnsi="仿宋" w:eastAsia="仿宋_GB2312" w:cstheme="minorBidi"/>
          <w:kern w:val="2"/>
          <w:sz w:val="32"/>
          <w:szCs w:val="32"/>
          <w:lang w:val="en-US" w:eastAsia="zh-CN" w:bidi="ar-SA"/>
        </w:rPr>
        <w:t>（6）</w:t>
      </w:r>
      <w:r>
        <w:rPr>
          <w:rFonts w:hint="eastAsia" w:ascii="仿宋_GB2312" w:hAnsi="楷体" w:eastAsia="仿宋_GB2312"/>
          <w:sz w:val="32"/>
          <w:szCs w:val="32"/>
        </w:rPr>
        <w:t>年度预算安排</w:t>
      </w:r>
      <w:r>
        <w:rPr>
          <w:rFonts w:hint="eastAsia" w:ascii="仿宋_GB2312" w:hAnsi="楷体" w:eastAsia="仿宋_GB2312"/>
          <w:sz w:val="32"/>
          <w:szCs w:val="32"/>
          <w:lang w:eastAsia="zh-CN"/>
        </w:rPr>
        <w:t>：</w:t>
      </w:r>
      <w:r>
        <w:rPr>
          <w:rFonts w:hint="eastAsia" w:ascii="仿宋_GB2312" w:hAnsi="仿宋" w:eastAsia="仿宋_GB2312"/>
          <w:sz w:val="32"/>
          <w:szCs w:val="32"/>
          <w:lang w:val="en-US" w:eastAsia="zh-CN"/>
        </w:rPr>
        <w:t>30万元</w:t>
      </w:r>
    </w:p>
    <w:p>
      <w:pPr>
        <w:adjustRightInd w:val="0"/>
        <w:snapToGrid w:val="0"/>
        <w:spacing w:line="600" w:lineRule="exact"/>
        <w:ind w:firstLine="960" w:firstLineChars="300"/>
        <w:rPr>
          <w:rFonts w:hint="eastAsia" w:ascii="仿宋_GB2312" w:hAnsi="楷体" w:eastAsia="仿宋_GB2312"/>
          <w:sz w:val="32"/>
          <w:szCs w:val="32"/>
          <w:lang w:eastAsia="zh-CN"/>
        </w:rPr>
      </w:pPr>
      <w:r>
        <w:rPr>
          <w:rFonts w:hint="eastAsia" w:ascii="仿宋_GB2312" w:hAnsi="楷体" w:eastAsia="仿宋_GB2312"/>
          <w:sz w:val="32"/>
          <w:szCs w:val="32"/>
        </w:rPr>
        <w:t>（7）绩效目标</w:t>
      </w:r>
      <w:r>
        <w:rPr>
          <w:rFonts w:hint="eastAsia" w:ascii="仿宋_GB2312" w:hAnsi="楷体" w:eastAsia="仿宋_GB2312"/>
          <w:sz w:val="32"/>
          <w:szCs w:val="32"/>
          <w:lang w:eastAsia="zh-CN"/>
        </w:rPr>
        <w:t>：优化特困供养机构生活环境，改善特困供养人员生活水平，缓解生活困难，保障基本生活权益，促进社会和谐稳定发展。</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0"/>
            <w:tcBorders>
              <w:top w:val="nil"/>
              <w:left w:val="nil"/>
              <w:bottom w:val="nil"/>
              <w:right w:val="nil"/>
            </w:tcBorders>
            <w:noWrap w:val="0"/>
            <w:vAlign w:val="center"/>
          </w:tcPr>
          <w:p>
            <w:pPr>
              <w:adjustRightInd w:val="0"/>
              <w:snapToGrid w:val="0"/>
              <w:spacing w:line="600" w:lineRule="exact"/>
              <w:ind w:firstLine="640" w:firstLineChars="200"/>
              <w:jc w:val="center"/>
              <w:rPr>
                <w:rFonts w:ascii="宋体" w:hAnsi="宋体" w:cs="宋体"/>
                <w:b/>
                <w:bCs/>
                <w:sz w:val="32"/>
                <w:szCs w:val="32"/>
              </w:rPr>
            </w:pPr>
            <w:r>
              <w:rPr>
                <w:rFonts w:hint="eastAsia" w:ascii="仿宋_GB2312" w:hAnsi="楷体" w:eastAsia="仿宋_GB2312"/>
                <w:sz w:val="32"/>
                <w:szCs w:val="32"/>
                <w:lang w:eastAsia="zh-CN"/>
              </w:rPr>
              <w:br w:type="page"/>
            </w: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0"/>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（202</w:t>
            </w:r>
            <w:r>
              <w:rPr>
                <w:rFonts w:hint="eastAsia"/>
                <w:sz w:val="20"/>
                <w:szCs w:val="20"/>
                <w:lang w:val="en-US" w:eastAsia="zh-CN"/>
              </w:rPr>
              <w:t>4</w:t>
            </w:r>
            <w:r>
              <w:rPr>
                <w:rFonts w:hint="eastAsia"/>
                <w:sz w:val="20"/>
                <w:szCs w:val="20"/>
              </w:rPr>
              <w:t xml:space="preserve">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8"/>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lang w:eastAsia="zh-CN"/>
              </w:rPr>
              <w:t>特困供养机构能力建设补贴</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auto"/>
                <w:sz w:val="20"/>
                <w:szCs w:val="20"/>
              </w:rPr>
              <w:t>养老服务科</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8"/>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ascii="宋体" w:hAnsi="宋体" w:cs="宋体"/>
                <w:color w:val="000000"/>
                <w:sz w:val="20"/>
                <w:szCs w:val="20"/>
              </w:rPr>
              <w:t>经常性项目</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0"/>
                <w:szCs w:val="20"/>
                <w:lang w:val="en-US" w:eastAsia="zh-CN"/>
              </w:rPr>
            </w:pPr>
            <w:r>
              <w:rPr>
                <w:rFonts w:hint="eastAsia"/>
                <w:sz w:val="20"/>
                <w:szCs w:val="20"/>
                <w:lang w:val="en-US" w:eastAsia="zh-CN"/>
              </w:rPr>
              <w:t>15</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cs="宋体"/>
                <w:sz w:val="20"/>
                <w:szCs w:val="20"/>
                <w:lang w:val="en-US" w:eastAsia="zh-CN"/>
              </w:rPr>
            </w:pPr>
            <w:r>
              <w:rPr>
                <w:rFonts w:hint="eastAsia"/>
                <w:sz w:val="20"/>
                <w:szCs w:val="20"/>
                <w:lang w:val="en-US" w:eastAsia="zh-CN"/>
              </w:rPr>
              <w:t>15</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c>
          <w:tcPr>
            <w:tcW w:w="1929" w:type="dxa"/>
            <w:gridSpan w:val="2"/>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0</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优化特困供养机构生活环境，改善特困供养人员生活水平，缓解生活困难，保障基本生活权益，促进社会和谐稳定发展。</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rFonts w:ascii="宋体" w:hAnsi="宋体" w:cs="宋体"/>
                <w:sz w:val="20"/>
                <w:szCs w:val="20"/>
              </w:rPr>
            </w:pPr>
            <w:r>
              <w:rPr>
                <w:rFonts w:hint="eastAsia" w:ascii="宋体" w:hAnsi="宋体" w:cs="宋体"/>
                <w:sz w:val="20"/>
                <w:szCs w:val="20"/>
                <w:lang w:eastAsia="zh-CN"/>
              </w:rPr>
              <w:t>规范智慧养老服务平台管理，提升广大老年群体养老服务质量，完善特定老年人居家养老服务管理。</w:t>
            </w:r>
          </w:p>
        </w:tc>
      </w:tr>
      <w:tr>
        <w:tblPrEx>
          <w:tblCellMar>
            <w:top w:w="0" w:type="dxa"/>
            <w:left w:w="108" w:type="dxa"/>
            <w:bottom w:w="0" w:type="dxa"/>
            <w:right w:w="108" w:type="dxa"/>
          </w:tblCellMar>
        </w:tblPrEx>
        <w:trPr>
          <w:trHeight w:val="830" w:hRule="atLeast"/>
        </w:trPr>
        <w:tc>
          <w:tcPr>
            <w:tcW w:w="41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6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846"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color w:val="auto"/>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color w:val="auto"/>
                <w:sz w:val="20"/>
                <w:szCs w:val="20"/>
                <w:lang w:val="en-US" w:eastAsia="zh-CN"/>
              </w:rPr>
              <w:t>21家特困供养机构</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sz w:val="20"/>
                <w:szCs w:val="20"/>
                <w:lang w:val="en-US" w:eastAsia="zh-CN"/>
              </w:rPr>
            </w:pPr>
            <w:r>
              <w:rPr>
                <w:rFonts w:hint="eastAsia" w:ascii="宋体" w:hAnsi="宋体" w:cs="宋体"/>
                <w:color w:val="auto"/>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color w:val="auto"/>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kern w:val="2"/>
                <w:sz w:val="20"/>
                <w:szCs w:val="20"/>
                <w:lang w:val="en-US" w:eastAsia="zh-CN" w:bidi="ar-SA"/>
              </w:rPr>
            </w:pPr>
            <w:r>
              <w:rPr>
                <w:rFonts w:hint="eastAsia"/>
                <w:color w:val="auto"/>
                <w:sz w:val="20"/>
                <w:szCs w:val="20"/>
                <w:lang w:val="en-US" w:eastAsia="zh-CN"/>
              </w:rPr>
              <w:t>21家特困供养机构</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auto"/>
                <w:kern w:val="2"/>
                <w:sz w:val="20"/>
                <w:szCs w:val="20"/>
                <w:lang w:val="en-US" w:eastAsia="zh-CN" w:bidi="ar-SA"/>
              </w:rPr>
            </w:pPr>
            <w:r>
              <w:rPr>
                <w:rFonts w:hint="eastAsia" w:ascii="宋体" w:hAnsi="宋体" w:cs="宋体"/>
                <w:color w:val="auto"/>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auto"/>
                <w:sz w:val="20"/>
                <w:szCs w:val="20"/>
              </w:rPr>
            </w:pPr>
            <w:r>
              <w:rPr>
                <w:rFonts w:hint="eastAsia" w:ascii="宋体" w:hAnsi="宋体" w:cs="宋体"/>
                <w:color w:val="auto"/>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default" w:ascii="宋体" w:hAnsi="宋体" w:eastAsia="宋体" w:cs="宋体"/>
                <w:sz w:val="20"/>
                <w:szCs w:val="20"/>
                <w:lang w:val="en-US" w:eastAsia="zh-CN"/>
              </w:rPr>
              <w:t>进一步提升我市</w:t>
            </w:r>
            <w:r>
              <w:rPr>
                <w:rFonts w:hint="eastAsia" w:ascii="宋体" w:hAnsi="宋体" w:cs="宋体"/>
                <w:sz w:val="20"/>
                <w:szCs w:val="20"/>
                <w:lang w:val="en-US" w:eastAsia="zh-CN"/>
              </w:rPr>
              <w:t>特困供养</w:t>
            </w:r>
            <w:r>
              <w:rPr>
                <w:rFonts w:hint="default" w:ascii="宋体" w:hAnsi="宋体" w:eastAsia="宋体" w:cs="宋体"/>
                <w:sz w:val="20"/>
                <w:szCs w:val="20"/>
                <w:lang w:val="en-US" w:eastAsia="zh-CN"/>
              </w:rPr>
              <w:t>服务质量</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default" w:ascii="宋体" w:hAnsi="宋体" w:eastAsia="宋体" w:cs="宋体"/>
                <w:sz w:val="20"/>
                <w:szCs w:val="20"/>
                <w:lang w:val="en-US" w:eastAsia="zh-CN"/>
              </w:rPr>
              <w:t>进一步提升我市</w:t>
            </w:r>
            <w:r>
              <w:rPr>
                <w:rFonts w:hint="eastAsia" w:ascii="宋体" w:hAnsi="宋体" w:cs="宋体"/>
                <w:sz w:val="20"/>
                <w:szCs w:val="20"/>
                <w:lang w:val="en-US" w:eastAsia="zh-CN"/>
              </w:rPr>
              <w:t>特困供养</w:t>
            </w:r>
            <w:r>
              <w:rPr>
                <w:rFonts w:hint="default" w:ascii="宋体" w:hAnsi="宋体" w:eastAsia="宋体" w:cs="宋体"/>
                <w:sz w:val="20"/>
                <w:szCs w:val="20"/>
                <w:lang w:val="en-US" w:eastAsia="zh-CN"/>
              </w:rPr>
              <w:t>服务质量</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lang w:eastAsia="zh-CN"/>
              </w:rPr>
              <w:t>及时发放</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15</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sz w:val="20"/>
                <w:szCs w:val="20"/>
                <w:lang w:eastAsia="zh-CN"/>
              </w:rPr>
              <w:t>及时发放</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15</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100%</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default" w:ascii="宋体" w:hAnsi="宋体" w:eastAsia="宋体" w:cs="宋体"/>
                <w:sz w:val="20"/>
                <w:szCs w:val="20"/>
                <w:lang w:val="en-US" w:eastAsia="zh-CN"/>
              </w:rPr>
              <w:t>优化特困供养机构生活环境，改善特困供养人员生活水平</w:t>
            </w:r>
            <w:r>
              <w:rPr>
                <w:rFonts w:hint="eastAsia" w:ascii="宋体" w:hAnsi="宋体" w:cs="宋体"/>
                <w:sz w:val="20"/>
                <w:szCs w:val="20"/>
                <w:lang w:val="en-US" w:eastAsia="zh-CN"/>
              </w:rPr>
              <w:t>.</w:t>
            </w:r>
          </w:p>
        </w:tc>
        <w:tc>
          <w:tcPr>
            <w:tcW w:w="860"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c>
          <w:tcPr>
            <w:tcW w:w="79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达成预期指标。</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kern w:val="2"/>
                <w:sz w:val="20"/>
                <w:szCs w:val="20"/>
                <w:lang w:val="en-US" w:eastAsia="zh-CN" w:bidi="ar-SA"/>
              </w:rPr>
            </w:pPr>
            <w:r>
              <w:rPr>
                <w:rFonts w:hint="default" w:ascii="宋体" w:hAnsi="宋体" w:eastAsia="宋体" w:cs="宋体"/>
                <w:sz w:val="20"/>
                <w:szCs w:val="20"/>
                <w:lang w:val="en-US" w:eastAsia="zh-CN"/>
              </w:rPr>
              <w:t>优化特困供养机构生活环境，改善特困供养人员生活水平</w:t>
            </w:r>
            <w:r>
              <w:rPr>
                <w:rFonts w:hint="eastAsia" w:ascii="宋体" w:hAnsi="宋体" w:cs="宋体"/>
                <w:sz w:val="20"/>
                <w:szCs w:val="20"/>
                <w:lang w:val="en-US" w:eastAsia="zh-CN"/>
              </w:rPr>
              <w:t>.</w:t>
            </w:r>
          </w:p>
        </w:tc>
        <w:tc>
          <w:tcPr>
            <w:tcW w:w="62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30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lang w:eastAsia="zh-CN"/>
              </w:rPr>
              <w:t>达成预期指标。</w:t>
            </w:r>
          </w:p>
        </w:tc>
      </w:tr>
      <w:tr>
        <w:tblPrEx>
          <w:tblCellMar>
            <w:top w:w="0" w:type="dxa"/>
            <w:left w:w="108" w:type="dxa"/>
            <w:bottom w:w="0" w:type="dxa"/>
            <w:right w:w="108" w:type="dxa"/>
          </w:tblCellMar>
        </w:tblPrEx>
        <w:trPr>
          <w:trHeight w:val="315" w:hRule="atLeast"/>
        </w:trPr>
        <w:tc>
          <w:tcPr>
            <w:tcW w:w="4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8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r>
              <w:rPr>
                <w:rFonts w:hint="eastAsia"/>
                <w:sz w:val="20"/>
                <w:szCs w:val="20"/>
              </w:rPr>
              <w:t>满意度指标</w:t>
            </w:r>
          </w:p>
        </w:tc>
        <w:tc>
          <w:tcPr>
            <w:tcW w:w="9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20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特困供养人员满意，生活权益得到保障。</w:t>
            </w:r>
          </w:p>
        </w:tc>
        <w:tc>
          <w:tcPr>
            <w:tcW w:w="8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7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kern w:val="2"/>
                <w:sz w:val="20"/>
                <w:szCs w:val="20"/>
                <w:lang w:val="en-US" w:eastAsia="zh-CN" w:bidi="ar-SA"/>
              </w:rPr>
            </w:pPr>
            <w:r>
              <w:rPr>
                <w:rFonts w:hint="eastAsia"/>
                <w:sz w:val="20"/>
                <w:szCs w:val="20"/>
              </w:rPr>
              <w:t>服务对象满意度指标</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kern w:val="2"/>
                <w:sz w:val="20"/>
                <w:szCs w:val="20"/>
                <w:lang w:val="en-US" w:eastAsia="zh-CN" w:bidi="ar-SA"/>
              </w:rPr>
              <w:t>特困供养人员满意，生活权益得到保障。</w:t>
            </w:r>
          </w:p>
        </w:tc>
        <w:tc>
          <w:tcPr>
            <w:tcW w:w="623"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10</w:t>
            </w:r>
          </w:p>
        </w:tc>
        <w:tc>
          <w:tcPr>
            <w:tcW w:w="6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95%以上</w:t>
            </w:r>
          </w:p>
        </w:tc>
      </w:tr>
    </w:tbl>
    <w:p>
      <w:pPr>
        <w:adjustRightInd w:val="0"/>
        <w:snapToGrid w:val="0"/>
        <w:spacing w:line="600" w:lineRule="exact"/>
        <w:ind w:firstLine="803" w:firstLineChars="250"/>
        <w:rPr>
          <w:rFonts w:eastAsia="仿宋_GB2312"/>
          <w:b/>
          <w:sz w:val="32"/>
          <w:szCs w:val="32"/>
        </w:rPr>
      </w:pPr>
      <w:r>
        <w:rPr>
          <w:rFonts w:hint="eastAsia" w:ascii="仿宋_GB2312" w:hAnsi="楷体" w:eastAsia="仿宋_GB2312"/>
          <w:b/>
          <w:sz w:val="32"/>
          <w:szCs w:val="32"/>
          <w:lang w:val="en-US" w:eastAsia="zh-CN"/>
        </w:rPr>
        <w:t>14.</w:t>
      </w:r>
      <w:r>
        <w:rPr>
          <w:rFonts w:eastAsia="仿宋_GB2312"/>
          <w:b/>
          <w:sz w:val="32"/>
          <w:szCs w:val="32"/>
        </w:rPr>
        <w:t>“政府购买社会救助服务”项目。</w:t>
      </w:r>
    </w:p>
    <w:p>
      <w:pPr>
        <w:adjustRightInd w:val="0"/>
        <w:snapToGrid w:val="0"/>
        <w:spacing w:line="600" w:lineRule="exact"/>
        <w:ind w:firstLine="560" w:firstLineChars="200"/>
        <w:rPr>
          <w:rFonts w:eastAsia="仿宋_GB2312"/>
          <w:sz w:val="28"/>
          <w:szCs w:val="28"/>
        </w:rPr>
      </w:pPr>
      <w:r>
        <w:rPr>
          <w:rFonts w:eastAsia="仿宋_GB2312"/>
          <w:sz w:val="28"/>
          <w:szCs w:val="28"/>
        </w:rPr>
        <w:t>（1）项目概述。省民政厅、省编办、省财政厅、省人社厅《关于推行政府购买社会救助服务 加强基层经办服务能力的实施意见》“各市、县（区）民政、财政部门根据社会救助人数、当地经济发展水平等实际，科学合理制定购买社会救助服务年度实施方案，细化购买社会救助项目、内容、金额等，所需资金由各市、县（区）从既有的社会救助工作经费或社会救助专项资金等预算中统筹安排，额度原则上不超过当年中央和省下拨以及本级安排的社会救助资金总额的1%，主要用于政府购买服务性社会救助服务支出”。202</w:t>
      </w:r>
      <w:r>
        <w:rPr>
          <w:rFonts w:hint="eastAsia" w:eastAsia="仿宋_GB2312"/>
          <w:sz w:val="28"/>
          <w:szCs w:val="28"/>
        </w:rPr>
        <w:t>3</w:t>
      </w:r>
      <w:r>
        <w:rPr>
          <w:rFonts w:eastAsia="仿宋_GB2312"/>
          <w:sz w:val="28"/>
          <w:szCs w:val="28"/>
        </w:rPr>
        <w:t>年，中央、省共下拨我市社会救助资金17</w:t>
      </w:r>
      <w:r>
        <w:rPr>
          <w:rFonts w:hint="eastAsia" w:eastAsia="仿宋_GB2312"/>
          <w:sz w:val="28"/>
          <w:szCs w:val="28"/>
        </w:rPr>
        <w:t>800万</w:t>
      </w:r>
      <w:r>
        <w:rPr>
          <w:rFonts w:eastAsia="仿宋_GB2312"/>
          <w:sz w:val="28"/>
          <w:szCs w:val="28"/>
        </w:rPr>
        <w:t>元，市财政安排</w:t>
      </w:r>
      <w:r>
        <w:rPr>
          <w:rFonts w:hint="eastAsia" w:eastAsia="仿宋_GB2312"/>
          <w:sz w:val="28"/>
          <w:szCs w:val="28"/>
        </w:rPr>
        <w:t>5938</w:t>
      </w:r>
      <w:r>
        <w:rPr>
          <w:rFonts w:eastAsia="仿宋_GB2312"/>
          <w:sz w:val="28"/>
          <w:szCs w:val="28"/>
        </w:rPr>
        <w:t>万元，合计为2</w:t>
      </w:r>
      <w:r>
        <w:rPr>
          <w:rFonts w:hint="eastAsia" w:eastAsia="仿宋_GB2312"/>
          <w:sz w:val="28"/>
          <w:szCs w:val="28"/>
        </w:rPr>
        <w:t>3738</w:t>
      </w:r>
      <w:r>
        <w:rPr>
          <w:rFonts w:eastAsia="仿宋_GB2312"/>
          <w:sz w:val="28"/>
          <w:szCs w:val="28"/>
        </w:rPr>
        <w:t>万元，按照0.0</w:t>
      </w:r>
      <w:r>
        <w:rPr>
          <w:rFonts w:hint="eastAsia" w:eastAsia="仿宋_GB2312"/>
          <w:sz w:val="28"/>
          <w:szCs w:val="28"/>
        </w:rPr>
        <w:t>32</w:t>
      </w:r>
      <w:r>
        <w:rPr>
          <w:rFonts w:eastAsia="仿宋_GB2312"/>
          <w:sz w:val="28"/>
          <w:szCs w:val="28"/>
        </w:rPr>
        <w:t>%的比例安排，计划安排77万元。其中市社会福利中心特困人员照护购买服务约29万元；市社会福利中心照料护理服务费26万元；困难群众救助绩效评价、资金使用绩效评价第三方评估等项目约7万元，暖阳行动项目约15万元，共计安排77万元。</w:t>
      </w:r>
    </w:p>
    <w:p>
      <w:pPr>
        <w:adjustRightInd w:val="0"/>
        <w:snapToGrid w:val="0"/>
        <w:spacing w:line="600" w:lineRule="exact"/>
        <w:ind w:firstLine="560" w:firstLineChars="200"/>
        <w:rPr>
          <w:rFonts w:eastAsia="仿宋_GB2312"/>
          <w:sz w:val="28"/>
          <w:szCs w:val="28"/>
        </w:rPr>
      </w:pPr>
      <w:r>
        <w:rPr>
          <w:rFonts w:eastAsia="仿宋_GB2312"/>
          <w:sz w:val="28"/>
          <w:szCs w:val="28"/>
        </w:rPr>
        <w:t>（2）立项依据。省民政厅、省编办、省财政厅、省人社厅《关于推行政府购买社会救助服务 加强基层经办服务能力的实施意见》</w:t>
      </w:r>
    </w:p>
    <w:p>
      <w:pPr>
        <w:adjustRightInd w:val="0"/>
        <w:snapToGrid w:val="0"/>
        <w:spacing w:line="600" w:lineRule="exact"/>
        <w:ind w:firstLine="560" w:firstLineChars="200"/>
        <w:rPr>
          <w:rFonts w:eastAsia="仿宋_GB2312"/>
          <w:sz w:val="28"/>
          <w:szCs w:val="28"/>
        </w:rPr>
      </w:pPr>
      <w:r>
        <w:rPr>
          <w:rFonts w:eastAsia="仿宋_GB2312"/>
          <w:sz w:val="28"/>
          <w:szCs w:val="28"/>
        </w:rPr>
        <w:t>（3）实施主体。市民政局社会救助科</w:t>
      </w:r>
    </w:p>
    <w:p>
      <w:pPr>
        <w:adjustRightInd w:val="0"/>
        <w:snapToGrid w:val="0"/>
        <w:spacing w:line="600" w:lineRule="exact"/>
        <w:ind w:firstLine="560" w:firstLineChars="200"/>
        <w:rPr>
          <w:rFonts w:eastAsia="仿宋_GB2312"/>
          <w:sz w:val="28"/>
          <w:szCs w:val="28"/>
        </w:rPr>
      </w:pPr>
      <w:r>
        <w:rPr>
          <w:rFonts w:eastAsia="仿宋_GB2312"/>
          <w:sz w:val="28"/>
          <w:szCs w:val="28"/>
        </w:rPr>
        <w:t>（4）起止时间。202</w:t>
      </w:r>
      <w:r>
        <w:rPr>
          <w:rFonts w:hint="eastAsia" w:eastAsia="仿宋_GB2312"/>
          <w:sz w:val="28"/>
          <w:szCs w:val="28"/>
        </w:rPr>
        <w:t>4</w:t>
      </w:r>
      <w:r>
        <w:rPr>
          <w:rFonts w:eastAsia="仿宋_GB2312"/>
          <w:sz w:val="28"/>
          <w:szCs w:val="28"/>
        </w:rPr>
        <w:t>年1月1日—202</w:t>
      </w:r>
      <w:r>
        <w:rPr>
          <w:rFonts w:hint="eastAsia" w:eastAsia="仿宋_GB2312"/>
          <w:sz w:val="28"/>
          <w:szCs w:val="28"/>
        </w:rPr>
        <w:t>4</w:t>
      </w:r>
      <w:r>
        <w:rPr>
          <w:rFonts w:eastAsia="仿宋_GB2312"/>
          <w:sz w:val="28"/>
          <w:szCs w:val="28"/>
        </w:rPr>
        <w:t>年12月31</w:t>
      </w:r>
    </w:p>
    <w:p>
      <w:pPr>
        <w:adjustRightInd w:val="0"/>
        <w:snapToGrid w:val="0"/>
        <w:spacing w:line="600" w:lineRule="exact"/>
        <w:ind w:firstLine="560" w:firstLineChars="200"/>
        <w:rPr>
          <w:rFonts w:eastAsia="仿宋_GB2312"/>
          <w:sz w:val="28"/>
          <w:szCs w:val="28"/>
        </w:rPr>
      </w:pPr>
      <w:r>
        <w:rPr>
          <w:rFonts w:eastAsia="仿宋_GB2312"/>
          <w:sz w:val="28"/>
          <w:szCs w:val="28"/>
        </w:rPr>
        <w:t>（5）项目内容。根据省民政厅、省编办、省财政厅、省人社厅《关于推行政府购买社会救助服务 加强基层经办服务能力的实施意见》文件要求，采取向社会力量购买服务参与社会救助工作绩效评价，使民政、财政部门角色由实施者转变为采购人，通过充分竞争最大限度地降低核查成本，得到更优质的核查结果，有效保证了社会救助对象准确性，维护了社会的公平正义。</w:t>
      </w:r>
    </w:p>
    <w:p>
      <w:pPr>
        <w:adjustRightInd w:val="0"/>
        <w:snapToGrid w:val="0"/>
        <w:spacing w:line="600" w:lineRule="exact"/>
        <w:ind w:firstLine="560" w:firstLineChars="200"/>
        <w:rPr>
          <w:rFonts w:eastAsia="仿宋_GB2312"/>
          <w:sz w:val="28"/>
          <w:szCs w:val="28"/>
        </w:rPr>
      </w:pPr>
      <w:r>
        <w:rPr>
          <w:rFonts w:eastAsia="仿宋_GB2312"/>
          <w:sz w:val="28"/>
          <w:szCs w:val="28"/>
        </w:rPr>
        <w:t>（6）年度预算安排。根据202</w:t>
      </w:r>
      <w:r>
        <w:rPr>
          <w:rFonts w:hint="eastAsia" w:eastAsia="仿宋_GB2312"/>
          <w:sz w:val="28"/>
          <w:szCs w:val="28"/>
        </w:rPr>
        <w:t>3</w:t>
      </w:r>
      <w:r>
        <w:rPr>
          <w:rFonts w:eastAsia="仿宋_GB2312"/>
          <w:sz w:val="28"/>
          <w:szCs w:val="28"/>
        </w:rPr>
        <w:t>年中央、省下拨我市社会救助资金情况，按照0.</w:t>
      </w:r>
      <w:r>
        <w:rPr>
          <w:rFonts w:hint="eastAsia" w:eastAsia="仿宋_GB2312"/>
          <w:sz w:val="28"/>
          <w:szCs w:val="28"/>
        </w:rPr>
        <w:t>32</w:t>
      </w:r>
      <w:r>
        <w:rPr>
          <w:rFonts w:eastAsia="仿宋_GB2312"/>
          <w:sz w:val="28"/>
          <w:szCs w:val="28"/>
        </w:rPr>
        <w:t>%的比例（共计77万元）用于政府购买社会救助服务项目。</w:t>
      </w:r>
    </w:p>
    <w:p>
      <w:pPr>
        <w:adjustRightInd w:val="0"/>
        <w:snapToGrid w:val="0"/>
        <w:spacing w:line="600" w:lineRule="exact"/>
        <w:ind w:firstLine="560" w:firstLineChars="200"/>
        <w:rPr>
          <w:rFonts w:eastAsia="仿宋_GB2312"/>
          <w:sz w:val="28"/>
          <w:szCs w:val="28"/>
        </w:rPr>
      </w:pPr>
      <w:r>
        <w:rPr>
          <w:rFonts w:eastAsia="仿宋_GB2312"/>
          <w:sz w:val="28"/>
          <w:szCs w:val="28"/>
        </w:rPr>
        <w:t>（7）绩效目标。政府向社会力量购买社会救助服务工作全面推行，促进基层社会救助经办能力显著提升，困难群众对社会救助服务的满意度明显提升。</w:t>
      </w:r>
    </w:p>
    <w:tbl>
      <w:tblPr>
        <w:tblStyle w:val="10"/>
        <w:tblW w:w="9020" w:type="dxa"/>
        <w:tblInd w:w="93" w:type="dxa"/>
        <w:tblLayout w:type="fixed"/>
        <w:tblCellMar>
          <w:top w:w="0" w:type="dxa"/>
          <w:left w:w="108" w:type="dxa"/>
          <w:bottom w:w="0" w:type="dxa"/>
          <w:right w:w="108" w:type="dxa"/>
        </w:tblCellMar>
      </w:tblPr>
      <w:tblGrid>
        <w:gridCol w:w="416"/>
        <w:gridCol w:w="820"/>
        <w:gridCol w:w="940"/>
        <w:gridCol w:w="1241"/>
        <w:gridCol w:w="759"/>
        <w:gridCol w:w="375"/>
        <w:gridCol w:w="1276"/>
        <w:gridCol w:w="889"/>
        <w:gridCol w:w="1040"/>
        <w:gridCol w:w="623"/>
        <w:gridCol w:w="641"/>
      </w:tblGrid>
      <w:tr>
        <w:tblPrEx>
          <w:tblCellMar>
            <w:top w:w="0" w:type="dxa"/>
            <w:left w:w="108" w:type="dxa"/>
            <w:bottom w:w="0" w:type="dxa"/>
            <w:right w:w="108" w:type="dxa"/>
          </w:tblCellMar>
        </w:tblPrEx>
        <w:trPr>
          <w:trHeight w:val="360" w:hRule="atLeast"/>
        </w:trPr>
        <w:tc>
          <w:tcPr>
            <w:tcW w:w="9020" w:type="dxa"/>
            <w:gridSpan w:val="11"/>
            <w:tcBorders>
              <w:top w:val="nil"/>
              <w:left w:val="nil"/>
              <w:bottom w:val="nil"/>
              <w:right w:val="nil"/>
            </w:tcBorders>
            <w:noWrap w:val="0"/>
            <w:vAlign w:val="center"/>
          </w:tcPr>
          <w:p>
            <w:pPr>
              <w:jc w:val="center"/>
              <w:rPr>
                <w:b/>
                <w:bCs/>
                <w:sz w:val="32"/>
                <w:szCs w:val="32"/>
              </w:rPr>
            </w:pPr>
            <w:r>
              <w:rPr>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1"/>
            <w:tcBorders>
              <w:top w:val="nil"/>
              <w:left w:val="nil"/>
              <w:bottom w:val="nil"/>
              <w:right w:val="nil"/>
            </w:tcBorders>
            <w:noWrap w:val="0"/>
            <w:vAlign w:val="center"/>
          </w:tcPr>
          <w:p>
            <w:pPr>
              <w:jc w:val="center"/>
              <w:rPr>
                <w:sz w:val="20"/>
                <w:szCs w:val="20"/>
              </w:rPr>
            </w:pPr>
            <w:r>
              <w:rPr>
                <w:sz w:val="20"/>
                <w:szCs w:val="20"/>
              </w:rPr>
              <w:t>（202</w:t>
            </w:r>
            <w:r>
              <w:rPr>
                <w:rFonts w:hint="eastAsia"/>
                <w:sz w:val="20"/>
                <w:szCs w:val="20"/>
              </w:rPr>
              <w:t>4</w:t>
            </w:r>
            <w:r>
              <w:rPr>
                <w:sz w:val="20"/>
                <w:szCs w:val="20"/>
              </w:rPr>
              <w:t>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0"/>
                <w:szCs w:val="20"/>
              </w:rPr>
            </w:pPr>
            <w:r>
              <w:rPr>
                <w:color w:val="000000"/>
                <w:sz w:val="20"/>
                <w:szCs w:val="20"/>
              </w:rPr>
              <w:t>项目名称</w:t>
            </w:r>
          </w:p>
        </w:tc>
        <w:tc>
          <w:tcPr>
            <w:tcW w:w="7784" w:type="dxa"/>
            <w:gridSpan w:val="9"/>
            <w:tcBorders>
              <w:top w:val="single" w:color="auto" w:sz="4" w:space="0"/>
              <w:left w:val="nil"/>
              <w:bottom w:val="single" w:color="auto" w:sz="4" w:space="0"/>
              <w:right w:val="single" w:color="000000" w:sz="4" w:space="0"/>
            </w:tcBorders>
            <w:noWrap w:val="0"/>
            <w:vAlign w:val="center"/>
          </w:tcPr>
          <w:p>
            <w:pPr>
              <w:jc w:val="center"/>
              <w:rPr>
                <w:color w:val="000000"/>
                <w:sz w:val="20"/>
                <w:szCs w:val="20"/>
              </w:rPr>
            </w:pPr>
            <w:r>
              <w:rPr>
                <w:color w:val="000000"/>
                <w:sz w:val="20"/>
                <w:szCs w:val="20"/>
              </w:rPr>
              <w:t>　政府购买社会救助服务</w:t>
            </w:r>
          </w:p>
        </w:tc>
      </w:tr>
      <w:tr>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0"/>
                <w:szCs w:val="20"/>
              </w:rPr>
            </w:pPr>
            <w:r>
              <w:rPr>
                <w:color w:val="000000"/>
                <w:sz w:val="20"/>
                <w:szCs w:val="20"/>
              </w:rPr>
              <w:t>实施单位</w:t>
            </w:r>
          </w:p>
        </w:tc>
        <w:tc>
          <w:tcPr>
            <w:tcW w:w="7784" w:type="dxa"/>
            <w:gridSpan w:val="9"/>
            <w:tcBorders>
              <w:top w:val="single" w:color="auto" w:sz="4" w:space="0"/>
              <w:left w:val="nil"/>
              <w:bottom w:val="single" w:color="auto" w:sz="4" w:space="0"/>
              <w:right w:val="single" w:color="auto" w:sz="4" w:space="0"/>
            </w:tcBorders>
            <w:noWrap w:val="0"/>
            <w:vAlign w:val="center"/>
          </w:tcPr>
          <w:p>
            <w:pPr>
              <w:jc w:val="center"/>
              <w:rPr>
                <w:color w:val="000000"/>
                <w:sz w:val="20"/>
                <w:szCs w:val="20"/>
              </w:rPr>
            </w:pPr>
            <w:r>
              <w:rPr>
                <w:color w:val="000000"/>
                <w:sz w:val="20"/>
                <w:szCs w:val="20"/>
              </w:rPr>
              <w:t>淮北市民政局社会救助科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color w:val="000000"/>
                <w:sz w:val="20"/>
                <w:szCs w:val="20"/>
              </w:rPr>
            </w:pPr>
            <w:r>
              <w:rPr>
                <w:color w:val="000000"/>
                <w:sz w:val="20"/>
                <w:szCs w:val="20"/>
              </w:rPr>
              <w:t>项目属性</w:t>
            </w:r>
          </w:p>
        </w:tc>
        <w:tc>
          <w:tcPr>
            <w:tcW w:w="7784" w:type="dxa"/>
            <w:gridSpan w:val="9"/>
            <w:tcBorders>
              <w:top w:val="single" w:color="auto" w:sz="4" w:space="0"/>
              <w:left w:val="nil"/>
              <w:bottom w:val="single" w:color="auto" w:sz="4" w:space="0"/>
              <w:right w:val="single" w:color="auto" w:sz="4" w:space="0"/>
            </w:tcBorders>
            <w:noWrap w:val="0"/>
            <w:vAlign w:val="center"/>
          </w:tcPr>
          <w:p>
            <w:pPr>
              <w:jc w:val="center"/>
              <w:rPr>
                <w:color w:val="000000"/>
                <w:sz w:val="20"/>
                <w:szCs w:val="20"/>
              </w:rPr>
            </w:pPr>
            <w:r>
              <w:rPr>
                <w:color w:val="000000"/>
                <w:sz w:val="20"/>
                <w:szCs w:val="20"/>
              </w:rPr>
              <w:t>经常性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sz w:val="20"/>
                <w:szCs w:val="20"/>
              </w:rPr>
            </w:pPr>
            <w:r>
              <w:rPr>
                <w:sz w:val="20"/>
                <w:szCs w:val="20"/>
              </w:rPr>
              <w:t>项目资金</w:t>
            </w:r>
            <w:r>
              <w:rPr>
                <w:sz w:val="20"/>
                <w:szCs w:val="20"/>
              </w:rPr>
              <w:br w:type="textWrapping"/>
            </w:r>
            <w:r>
              <w:rPr>
                <w:sz w:val="20"/>
                <w:szCs w:val="20"/>
              </w:rPr>
              <w:t>（万元）</w:t>
            </w:r>
          </w:p>
        </w:tc>
        <w:tc>
          <w:tcPr>
            <w:tcW w:w="2000"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sz w:val="20"/>
                <w:szCs w:val="20"/>
              </w:rPr>
            </w:pPr>
            <w:r>
              <w:rPr>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sz w:val="20"/>
                <w:szCs w:val="20"/>
              </w:rPr>
            </w:pPr>
            <w:r>
              <w:rPr>
                <w:sz w:val="20"/>
                <w:szCs w:val="20"/>
              </w:rPr>
              <w:t>77</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sz w:val="20"/>
                <w:szCs w:val="20"/>
              </w:rPr>
            </w:pPr>
          </w:p>
        </w:tc>
        <w:tc>
          <w:tcPr>
            <w:tcW w:w="2000"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sz w:val="20"/>
                <w:szCs w:val="20"/>
              </w:rPr>
            </w:pPr>
            <w:r>
              <w:rPr>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sz w:val="20"/>
                <w:szCs w:val="20"/>
              </w:rPr>
            </w:pPr>
            <w:r>
              <w:rPr>
                <w:sz w:val="20"/>
                <w:szCs w:val="20"/>
              </w:rPr>
              <w:t>　77</w:t>
            </w:r>
          </w:p>
        </w:tc>
      </w:tr>
      <w:tr>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sz w:val="20"/>
                <w:szCs w:val="20"/>
              </w:rPr>
            </w:pPr>
          </w:p>
        </w:tc>
        <w:tc>
          <w:tcPr>
            <w:tcW w:w="2000"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sz w:val="20"/>
                <w:szCs w:val="20"/>
              </w:rPr>
            </w:pPr>
            <w:r>
              <w:rPr>
                <w:sz w:val="20"/>
                <w:szCs w:val="20"/>
              </w:rPr>
              <w:t>　</w:t>
            </w:r>
          </w:p>
        </w:tc>
        <w:tc>
          <w:tcPr>
            <w:tcW w:w="1929" w:type="dxa"/>
            <w:gridSpan w:val="2"/>
            <w:tcBorders>
              <w:top w:val="single" w:color="auto" w:sz="4" w:space="0"/>
              <w:left w:val="nil"/>
              <w:bottom w:val="single" w:color="auto" w:sz="4" w:space="0"/>
              <w:right w:val="single" w:color="auto" w:sz="4" w:space="0"/>
            </w:tcBorders>
            <w:noWrap w:val="0"/>
            <w:vAlign w:val="center"/>
          </w:tcPr>
          <w:p>
            <w:pPr>
              <w:rPr>
                <w:sz w:val="20"/>
                <w:szCs w:val="20"/>
              </w:rPr>
            </w:pPr>
            <w:r>
              <w:rPr>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sz w:val="20"/>
                <w:szCs w:val="20"/>
              </w:rPr>
            </w:pPr>
            <w:r>
              <w:rPr>
                <w:sz w:val="20"/>
                <w:szCs w:val="20"/>
              </w:rPr>
              <w:t>　</w:t>
            </w: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sz w:val="20"/>
                <w:szCs w:val="20"/>
              </w:rPr>
            </w:pPr>
            <w:r>
              <w:rPr>
                <w:sz w:val="20"/>
                <w:szCs w:val="20"/>
              </w:rPr>
              <w:t>总</w:t>
            </w:r>
            <w:r>
              <w:rPr>
                <w:sz w:val="20"/>
                <w:szCs w:val="20"/>
              </w:rPr>
              <w:br w:type="textWrapping"/>
            </w:r>
            <w:r>
              <w:rPr>
                <w:sz w:val="20"/>
                <w:szCs w:val="20"/>
              </w:rPr>
              <w:t>体</w:t>
            </w:r>
            <w:r>
              <w:rPr>
                <w:sz w:val="20"/>
                <w:szCs w:val="20"/>
              </w:rPr>
              <w:br w:type="textWrapping"/>
            </w:r>
            <w:r>
              <w:rPr>
                <w:sz w:val="20"/>
                <w:szCs w:val="20"/>
              </w:rPr>
              <w:t>目</w:t>
            </w:r>
            <w:r>
              <w:rPr>
                <w:sz w:val="20"/>
                <w:szCs w:val="20"/>
              </w:rPr>
              <w:br w:type="textWrapping"/>
            </w:r>
            <w:r>
              <w:rPr>
                <w:sz w:val="20"/>
                <w:szCs w:val="20"/>
              </w:rPr>
              <w:t>标</w:t>
            </w:r>
          </w:p>
        </w:tc>
        <w:tc>
          <w:tcPr>
            <w:tcW w:w="5411" w:type="dxa"/>
            <w:gridSpan w:val="6"/>
            <w:tcBorders>
              <w:top w:val="single" w:color="auto" w:sz="4" w:space="0"/>
              <w:left w:val="nil"/>
              <w:bottom w:val="single" w:color="auto" w:sz="4" w:space="0"/>
              <w:right w:val="nil"/>
            </w:tcBorders>
            <w:noWrap w:val="0"/>
            <w:vAlign w:val="center"/>
          </w:tcPr>
          <w:p>
            <w:pPr>
              <w:jc w:val="center"/>
              <w:rPr>
                <w:sz w:val="20"/>
                <w:szCs w:val="20"/>
              </w:rPr>
            </w:pPr>
            <w:r>
              <w:rPr>
                <w:sz w:val="20"/>
                <w:szCs w:val="20"/>
              </w:rPr>
              <w:t>中期目标（20××年—20××+n年）</w:t>
            </w:r>
          </w:p>
        </w:tc>
        <w:tc>
          <w:tcPr>
            <w:tcW w:w="3193" w:type="dxa"/>
            <w:gridSpan w:val="4"/>
            <w:tcBorders>
              <w:top w:val="single" w:color="auto" w:sz="4" w:space="0"/>
              <w:left w:val="single" w:color="auto" w:sz="4" w:space="0"/>
              <w:bottom w:val="single" w:color="auto" w:sz="4" w:space="0"/>
              <w:right w:val="single" w:color="000000" w:sz="4" w:space="0"/>
            </w:tcBorders>
            <w:noWrap w:val="0"/>
            <w:vAlign w:val="center"/>
          </w:tcPr>
          <w:p>
            <w:pPr>
              <w:jc w:val="center"/>
              <w:rPr>
                <w:sz w:val="20"/>
                <w:szCs w:val="20"/>
              </w:rPr>
            </w:pPr>
            <w:r>
              <w:rPr>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5411" w:type="dxa"/>
            <w:gridSpan w:val="6"/>
            <w:tcBorders>
              <w:top w:val="single" w:color="auto" w:sz="4" w:space="0"/>
              <w:left w:val="nil"/>
              <w:bottom w:val="single" w:color="auto" w:sz="4" w:space="0"/>
              <w:right w:val="nil"/>
            </w:tcBorders>
            <w:noWrap w:val="0"/>
            <w:vAlign w:val="top"/>
          </w:tcPr>
          <w:p>
            <w:pPr>
              <w:rPr>
                <w:sz w:val="20"/>
                <w:szCs w:val="20"/>
              </w:rPr>
            </w:pPr>
            <w:r>
              <w:rPr>
                <w:sz w:val="20"/>
                <w:szCs w:val="20"/>
              </w:rPr>
              <w:t xml:space="preserve"> 目标1：政府向社会力量购买社会救助服务工作全面推行，促进基层社会救助经办能力显著提升，困难群众对社会救助服务的满意度明显提升。</w:t>
            </w:r>
            <w:r>
              <w:rPr>
                <w:sz w:val="20"/>
                <w:szCs w:val="20"/>
              </w:rPr>
              <w:br w:type="textWrapping"/>
            </w:r>
            <w:r>
              <w:rPr>
                <w:sz w:val="20"/>
                <w:szCs w:val="20"/>
              </w:rPr>
              <w:t xml:space="preserve"> </w:t>
            </w:r>
          </w:p>
        </w:tc>
        <w:tc>
          <w:tcPr>
            <w:tcW w:w="3193" w:type="dxa"/>
            <w:gridSpan w:val="4"/>
            <w:tcBorders>
              <w:top w:val="single" w:color="auto" w:sz="4" w:space="0"/>
              <w:left w:val="single" w:color="auto" w:sz="4" w:space="0"/>
              <w:bottom w:val="single" w:color="auto" w:sz="4" w:space="0"/>
              <w:right w:val="single" w:color="000000" w:sz="4" w:space="0"/>
            </w:tcBorders>
            <w:noWrap w:val="0"/>
            <w:vAlign w:val="top"/>
          </w:tcPr>
          <w:p>
            <w:pPr>
              <w:rPr>
                <w:sz w:val="20"/>
                <w:szCs w:val="20"/>
              </w:rPr>
            </w:pPr>
            <w:r>
              <w:rPr>
                <w:sz w:val="20"/>
                <w:szCs w:val="20"/>
              </w:rPr>
              <w:t xml:space="preserve"> 目标1：政府向社会力量购买社会救助服务工作全面推行，促进基层社会救助经办能力显著提升，困难群众对社会救助服务的满意度明显提升。</w:t>
            </w: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绩</w:t>
            </w:r>
            <w:r>
              <w:rPr>
                <w:sz w:val="20"/>
                <w:szCs w:val="20"/>
              </w:rPr>
              <w:br w:type="textWrapping"/>
            </w:r>
            <w:r>
              <w:rPr>
                <w:sz w:val="20"/>
                <w:szCs w:val="20"/>
              </w:rPr>
              <w:t>效</w:t>
            </w:r>
            <w:r>
              <w:rPr>
                <w:sz w:val="20"/>
                <w:szCs w:val="20"/>
              </w:rPr>
              <w:br w:type="textWrapping"/>
            </w:r>
            <w:r>
              <w:rPr>
                <w:sz w:val="20"/>
                <w:szCs w:val="20"/>
              </w:rPr>
              <w:t>指</w:t>
            </w:r>
            <w:r>
              <w:rPr>
                <w:sz w:val="20"/>
                <w:szCs w:val="20"/>
              </w:rPr>
              <w:br w:type="textWrapping"/>
            </w:r>
            <w:r>
              <w:rPr>
                <w:sz w:val="20"/>
                <w:szCs w:val="20"/>
              </w:rPr>
              <w:t>标</w:t>
            </w:r>
          </w:p>
        </w:tc>
        <w:tc>
          <w:tcPr>
            <w:tcW w:w="820" w:type="dxa"/>
            <w:tcBorders>
              <w:top w:val="nil"/>
              <w:left w:val="nil"/>
              <w:bottom w:val="nil"/>
              <w:right w:val="single" w:color="auto" w:sz="4" w:space="0"/>
            </w:tcBorders>
            <w:noWrap w:val="0"/>
            <w:vAlign w:val="center"/>
          </w:tcPr>
          <w:p>
            <w:pPr>
              <w:jc w:val="center"/>
              <w:rPr>
                <w:sz w:val="20"/>
                <w:szCs w:val="20"/>
              </w:rPr>
            </w:pPr>
            <w:r>
              <w:rPr>
                <w:sz w:val="20"/>
                <w:szCs w:val="20"/>
              </w:rPr>
              <w:t>一级</w:t>
            </w:r>
            <w:r>
              <w:rPr>
                <w:sz w:val="20"/>
                <w:szCs w:val="20"/>
              </w:rPr>
              <w:br w:type="textWrapping"/>
            </w:r>
            <w:r>
              <w:rPr>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二级</w:t>
            </w:r>
          </w:p>
          <w:p>
            <w:pPr>
              <w:jc w:val="center"/>
              <w:rPr>
                <w:sz w:val="20"/>
                <w:szCs w:val="20"/>
              </w:rPr>
            </w:pPr>
            <w:r>
              <w:rPr>
                <w:sz w:val="20"/>
                <w:szCs w:val="20"/>
              </w:rPr>
              <w:t>指标</w:t>
            </w:r>
          </w:p>
        </w:tc>
        <w:tc>
          <w:tcPr>
            <w:tcW w:w="1241"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三级指标</w:t>
            </w:r>
          </w:p>
        </w:tc>
        <w:tc>
          <w:tcPr>
            <w:tcW w:w="1134" w:type="dxa"/>
            <w:gridSpan w:val="2"/>
            <w:tcBorders>
              <w:top w:val="nil"/>
              <w:left w:val="nil"/>
              <w:bottom w:val="single" w:color="auto" w:sz="4" w:space="0"/>
              <w:right w:val="single" w:color="auto" w:sz="4" w:space="0"/>
            </w:tcBorders>
            <w:noWrap w:val="0"/>
            <w:vAlign w:val="center"/>
          </w:tcPr>
          <w:p>
            <w:pPr>
              <w:jc w:val="center"/>
              <w:rPr>
                <w:sz w:val="20"/>
                <w:szCs w:val="20"/>
              </w:rPr>
            </w:pPr>
            <w:r>
              <w:rPr>
                <w:sz w:val="20"/>
                <w:szCs w:val="20"/>
              </w:rPr>
              <w:t>指标值</w:t>
            </w:r>
          </w:p>
        </w:tc>
        <w:tc>
          <w:tcPr>
            <w:tcW w:w="1276"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二级</w:t>
            </w:r>
          </w:p>
          <w:p>
            <w:pPr>
              <w:jc w:val="center"/>
              <w:rPr>
                <w:sz w:val="20"/>
                <w:szCs w:val="20"/>
              </w:rPr>
            </w:pPr>
            <w:r>
              <w:rPr>
                <w:sz w:val="20"/>
                <w:szCs w:val="20"/>
              </w:rPr>
              <w:t>指标</w:t>
            </w:r>
          </w:p>
        </w:tc>
        <w:tc>
          <w:tcPr>
            <w:tcW w:w="1040" w:type="dxa"/>
            <w:tcBorders>
              <w:top w:val="nil"/>
              <w:left w:val="nil"/>
              <w:bottom w:val="single" w:color="auto" w:sz="4" w:space="0"/>
              <w:right w:val="nil"/>
            </w:tcBorders>
            <w:noWrap w:val="0"/>
            <w:vAlign w:val="center"/>
          </w:tcPr>
          <w:p>
            <w:pPr>
              <w:jc w:val="center"/>
              <w:rPr>
                <w:sz w:val="20"/>
                <w:szCs w:val="20"/>
              </w:rPr>
            </w:pPr>
            <w:r>
              <w:rPr>
                <w:sz w:val="20"/>
                <w:szCs w:val="20"/>
              </w:rPr>
              <w:t>三级指标</w:t>
            </w:r>
          </w:p>
        </w:tc>
        <w:tc>
          <w:tcPr>
            <w:tcW w:w="623" w:type="dxa"/>
            <w:tcBorders>
              <w:top w:val="nil"/>
              <w:left w:val="single" w:color="auto" w:sz="4" w:space="0"/>
              <w:bottom w:val="single" w:color="auto" w:sz="4" w:space="0"/>
              <w:right w:val="single" w:color="auto" w:sz="4" w:space="0"/>
            </w:tcBorders>
            <w:noWrap w:val="0"/>
            <w:vAlign w:val="center"/>
          </w:tcPr>
          <w:p>
            <w:pPr>
              <w:jc w:val="center"/>
              <w:rPr>
                <w:sz w:val="20"/>
                <w:szCs w:val="20"/>
              </w:rPr>
            </w:pPr>
            <w:r>
              <w:rPr>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绩效标准</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 w:val="20"/>
                <w:szCs w:val="20"/>
              </w:rPr>
            </w:pPr>
            <w:r>
              <w:rPr>
                <w:sz w:val="20"/>
                <w:szCs w:val="20"/>
              </w:rPr>
              <w:t>产</w:t>
            </w:r>
            <w:r>
              <w:rPr>
                <w:sz w:val="20"/>
                <w:szCs w:val="20"/>
              </w:rPr>
              <w:br w:type="textWrapping"/>
            </w:r>
            <w:r>
              <w:rPr>
                <w:sz w:val="20"/>
                <w:szCs w:val="20"/>
              </w:rPr>
              <w:t>出</w:t>
            </w:r>
            <w:r>
              <w:rPr>
                <w:sz w:val="20"/>
                <w:szCs w:val="20"/>
              </w:rPr>
              <w:br w:type="textWrapping"/>
            </w:r>
            <w:r>
              <w:rPr>
                <w:sz w:val="20"/>
                <w:szCs w:val="20"/>
              </w:rPr>
              <w:t>指</w:t>
            </w:r>
            <w:r>
              <w:rPr>
                <w:sz w:val="20"/>
                <w:szCs w:val="20"/>
              </w:rPr>
              <w:br w:type="textWrapping"/>
            </w:r>
            <w:r>
              <w:rPr>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数量</w:t>
            </w:r>
          </w:p>
          <w:p>
            <w:pPr>
              <w:jc w:val="center"/>
              <w:rPr>
                <w:sz w:val="20"/>
                <w:szCs w:val="20"/>
              </w:rPr>
            </w:pPr>
            <w:r>
              <w:rPr>
                <w:sz w:val="20"/>
                <w:szCs w:val="20"/>
              </w:rPr>
              <w:t>指标</w:t>
            </w:r>
          </w:p>
        </w:tc>
        <w:tc>
          <w:tcPr>
            <w:tcW w:w="1241" w:type="dxa"/>
            <w:vMerge w:val="restart"/>
            <w:tcBorders>
              <w:top w:val="nil"/>
              <w:left w:val="nil"/>
              <w:right w:val="single" w:color="auto" w:sz="4" w:space="0"/>
            </w:tcBorders>
            <w:noWrap w:val="0"/>
            <w:vAlign w:val="center"/>
          </w:tcPr>
          <w:p>
            <w:pPr>
              <w:rPr>
                <w:sz w:val="20"/>
                <w:szCs w:val="20"/>
              </w:rPr>
            </w:pPr>
            <w:r>
              <w:rPr>
                <w:sz w:val="20"/>
                <w:szCs w:val="20"/>
              </w:rPr>
              <w:t xml:space="preserve"> 指标1：应保尽保</w:t>
            </w:r>
          </w:p>
        </w:tc>
        <w:tc>
          <w:tcPr>
            <w:tcW w:w="1134" w:type="dxa"/>
            <w:gridSpan w:val="2"/>
            <w:vMerge w:val="restart"/>
            <w:tcBorders>
              <w:top w:val="nil"/>
              <w:left w:val="nil"/>
              <w:right w:val="single" w:color="auto" w:sz="4" w:space="0"/>
            </w:tcBorders>
            <w:noWrap w:val="0"/>
            <w:vAlign w:val="center"/>
          </w:tcPr>
          <w:p>
            <w:pPr>
              <w:rPr>
                <w:sz w:val="20"/>
                <w:szCs w:val="20"/>
              </w:rPr>
            </w:pPr>
            <w:r>
              <w:rPr>
                <w:sz w:val="20"/>
                <w:szCs w:val="20"/>
              </w:rPr>
              <w:t>5818人</w:t>
            </w:r>
          </w:p>
          <w:p>
            <w:pPr>
              <w:rPr>
                <w:sz w:val="20"/>
                <w:szCs w:val="20"/>
              </w:rPr>
            </w:pPr>
            <w:r>
              <w:rPr>
                <w:sz w:val="20"/>
                <w:szCs w:val="20"/>
              </w:rPr>
              <w:t>　</w:t>
            </w:r>
          </w:p>
        </w:tc>
        <w:tc>
          <w:tcPr>
            <w:tcW w:w="1276" w:type="dxa"/>
            <w:vMerge w:val="restart"/>
            <w:tcBorders>
              <w:top w:val="nil"/>
              <w:left w:val="nil"/>
              <w:right w:val="single" w:color="auto" w:sz="4" w:space="0"/>
            </w:tcBorders>
            <w:noWrap w:val="0"/>
            <w:vAlign w:val="center"/>
          </w:tcPr>
          <w:p>
            <w:pPr>
              <w:rPr>
                <w:sz w:val="20"/>
                <w:szCs w:val="20"/>
              </w:rPr>
            </w:pPr>
            <w:r>
              <w:rPr>
                <w:rFonts w:hAnsi="宋体"/>
                <w:sz w:val="20"/>
                <w:szCs w:val="20"/>
              </w:rPr>
              <w:t>保障特困供养对象</w:t>
            </w:r>
            <w:r>
              <w:rPr>
                <w:sz w:val="20"/>
                <w:szCs w:val="20"/>
              </w:rPr>
              <w:t>5818</w:t>
            </w:r>
            <w:r>
              <w:rPr>
                <w:rFonts w:hAnsi="宋体"/>
                <w:sz w:val="20"/>
                <w:szCs w:val="20"/>
              </w:rPr>
              <w:t>人</w:t>
            </w:r>
          </w:p>
          <w:p>
            <w:pPr>
              <w:rPr>
                <w:sz w:val="20"/>
                <w:szCs w:val="20"/>
              </w:rPr>
            </w:pPr>
            <w:r>
              <w:rPr>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数量</w:t>
            </w:r>
          </w:p>
          <w:p>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指标1：应保尽保</w:t>
            </w:r>
          </w:p>
        </w:tc>
        <w:tc>
          <w:tcPr>
            <w:tcW w:w="623" w:type="dxa"/>
            <w:tcBorders>
              <w:top w:val="nil"/>
              <w:left w:val="nil"/>
              <w:bottom w:val="single" w:color="auto" w:sz="4" w:space="0"/>
              <w:right w:val="single" w:color="auto" w:sz="4" w:space="0"/>
            </w:tcBorders>
            <w:noWrap w:val="0"/>
            <w:vAlign w:val="center"/>
          </w:tcPr>
          <w:p>
            <w:pPr>
              <w:rPr>
                <w:sz w:val="20"/>
                <w:szCs w:val="20"/>
              </w:rPr>
            </w:pPr>
            <w:r>
              <w:rPr>
                <w:sz w:val="20"/>
                <w:szCs w:val="20"/>
              </w:rPr>
              <w:t>5818人</w:t>
            </w:r>
          </w:p>
          <w:p>
            <w:pPr>
              <w:rPr>
                <w:rFonts w:asciiTheme="minorHAnsi" w:hAnsiTheme="minorHAnsi" w:eastAsiaTheme="minorEastAsia" w:cstheme="minorBidi"/>
                <w:kern w:val="2"/>
                <w:sz w:val="20"/>
                <w:szCs w:val="20"/>
                <w:lang w:val="en-US" w:eastAsia="zh-CN" w:bidi="ar-SA"/>
              </w:rPr>
            </w:pPr>
            <w:r>
              <w:rPr>
                <w:sz w:val="20"/>
                <w:szCs w:val="20"/>
              </w:rPr>
              <w:t>　</w:t>
            </w:r>
          </w:p>
        </w:tc>
        <w:tc>
          <w:tcPr>
            <w:tcW w:w="641" w:type="dxa"/>
            <w:tcBorders>
              <w:top w:val="nil"/>
              <w:left w:val="nil"/>
              <w:bottom w:val="single" w:color="auto" w:sz="4" w:space="0"/>
              <w:right w:val="single" w:color="auto" w:sz="4" w:space="0"/>
            </w:tcBorders>
            <w:noWrap w:val="0"/>
            <w:vAlign w:val="center"/>
          </w:tcPr>
          <w:p>
            <w:pPr>
              <w:rPr>
                <w:sz w:val="20"/>
                <w:szCs w:val="20"/>
              </w:rPr>
            </w:pPr>
            <w:r>
              <w:rPr>
                <w:rFonts w:hAnsi="宋体"/>
                <w:sz w:val="20"/>
                <w:szCs w:val="20"/>
              </w:rPr>
              <w:t>保障特困供养对象</w:t>
            </w:r>
            <w:r>
              <w:rPr>
                <w:sz w:val="20"/>
                <w:szCs w:val="20"/>
              </w:rPr>
              <w:t>5818</w:t>
            </w:r>
            <w:r>
              <w:rPr>
                <w:rFonts w:hAnsi="宋体"/>
                <w:sz w:val="20"/>
                <w:szCs w:val="20"/>
              </w:rPr>
              <w:t>人</w:t>
            </w:r>
          </w:p>
          <w:p>
            <w:pPr>
              <w:rPr>
                <w:rFonts w:asciiTheme="minorHAnsi" w:hAnsiTheme="minorHAnsi" w:eastAsiaTheme="minorEastAsia" w:cstheme="minorBidi"/>
                <w:kern w:val="2"/>
                <w:sz w:val="20"/>
                <w:szCs w:val="20"/>
                <w:lang w:val="en-US" w:eastAsia="zh-CN" w:bidi="ar-SA"/>
              </w:rPr>
            </w:pPr>
            <w:r>
              <w:rPr>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41" w:type="dxa"/>
            <w:vMerge w:val="continue"/>
            <w:tcBorders>
              <w:left w:val="nil"/>
              <w:bottom w:val="single" w:color="auto" w:sz="4" w:space="0"/>
              <w:right w:val="single" w:color="auto" w:sz="4" w:space="0"/>
            </w:tcBorders>
            <w:noWrap w:val="0"/>
            <w:vAlign w:val="center"/>
          </w:tcPr>
          <w:p>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sz w:val="20"/>
                <w:szCs w:val="20"/>
              </w:rPr>
            </w:pPr>
          </w:p>
        </w:tc>
        <w:tc>
          <w:tcPr>
            <w:tcW w:w="1276" w:type="dxa"/>
            <w:vMerge w:val="continue"/>
            <w:tcBorders>
              <w:left w:val="nil"/>
              <w:bottom w:val="single" w:color="auto" w:sz="4" w:space="0"/>
              <w:right w:val="single" w:color="auto" w:sz="4" w:space="0"/>
            </w:tcBorders>
            <w:noWrap w:val="0"/>
            <w:vAlign w:val="center"/>
          </w:tcPr>
          <w:p>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040"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质量</w:t>
            </w:r>
          </w:p>
          <w:p>
            <w:pPr>
              <w:jc w:val="center"/>
              <w:rPr>
                <w:sz w:val="20"/>
                <w:szCs w:val="20"/>
              </w:rPr>
            </w:pPr>
            <w:r>
              <w:rPr>
                <w:sz w:val="20"/>
                <w:szCs w:val="20"/>
              </w:rPr>
              <w:t>指标</w:t>
            </w:r>
          </w:p>
        </w:tc>
        <w:tc>
          <w:tcPr>
            <w:tcW w:w="1241" w:type="dxa"/>
            <w:vMerge w:val="restart"/>
            <w:tcBorders>
              <w:top w:val="nil"/>
              <w:left w:val="nil"/>
              <w:right w:val="single" w:color="auto" w:sz="4" w:space="0"/>
            </w:tcBorders>
            <w:noWrap w:val="0"/>
            <w:vAlign w:val="center"/>
          </w:tcPr>
          <w:p>
            <w:pPr>
              <w:rPr>
                <w:sz w:val="20"/>
                <w:szCs w:val="20"/>
              </w:rPr>
            </w:pPr>
            <w:r>
              <w:rPr>
                <w:sz w:val="20"/>
                <w:szCs w:val="20"/>
              </w:rPr>
              <w:t xml:space="preserve"> 指标1：100%</w:t>
            </w:r>
          </w:p>
        </w:tc>
        <w:tc>
          <w:tcPr>
            <w:tcW w:w="1134" w:type="dxa"/>
            <w:gridSpan w:val="2"/>
            <w:vMerge w:val="restart"/>
            <w:tcBorders>
              <w:top w:val="nil"/>
              <w:left w:val="nil"/>
              <w:right w:val="single" w:color="auto" w:sz="4" w:space="0"/>
            </w:tcBorders>
            <w:noWrap w:val="0"/>
            <w:vAlign w:val="center"/>
          </w:tcPr>
          <w:p>
            <w:pPr>
              <w:rPr>
                <w:sz w:val="20"/>
                <w:szCs w:val="20"/>
              </w:rPr>
            </w:pPr>
            <w:r>
              <w:rPr>
                <w:sz w:val="20"/>
                <w:szCs w:val="20"/>
              </w:rPr>
              <w:t>　动态管理，做到应保尽保、应退尽退</w:t>
            </w:r>
          </w:p>
          <w:p>
            <w:pPr>
              <w:rPr>
                <w:sz w:val="20"/>
                <w:szCs w:val="20"/>
              </w:rPr>
            </w:pPr>
            <w:r>
              <w:rPr>
                <w:sz w:val="20"/>
                <w:szCs w:val="20"/>
              </w:rPr>
              <w:t>　</w:t>
            </w:r>
          </w:p>
        </w:tc>
        <w:tc>
          <w:tcPr>
            <w:tcW w:w="1276" w:type="dxa"/>
            <w:vMerge w:val="restart"/>
            <w:tcBorders>
              <w:top w:val="nil"/>
              <w:left w:val="nil"/>
              <w:right w:val="single" w:color="auto" w:sz="4" w:space="0"/>
            </w:tcBorders>
            <w:noWrap w:val="0"/>
            <w:vAlign w:val="center"/>
          </w:tcPr>
          <w:p>
            <w:pPr>
              <w:rPr>
                <w:sz w:val="20"/>
                <w:szCs w:val="20"/>
              </w:rPr>
            </w:pPr>
            <w:r>
              <w:rPr>
                <w:sz w:val="20"/>
                <w:szCs w:val="20"/>
              </w:rPr>
              <w:t>　动态管理，做到应保尽保、应退尽退</w:t>
            </w:r>
          </w:p>
          <w:p>
            <w:pPr>
              <w:rPr>
                <w:sz w:val="20"/>
                <w:szCs w:val="20"/>
              </w:rPr>
            </w:pPr>
            <w:r>
              <w:rPr>
                <w:sz w:val="20"/>
                <w:szCs w:val="20"/>
              </w:rPr>
              <w:t>　</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质量</w:t>
            </w:r>
          </w:p>
          <w:p>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指标1：100%</w:t>
            </w:r>
          </w:p>
        </w:tc>
        <w:tc>
          <w:tcPr>
            <w:tcW w:w="623" w:type="dxa"/>
            <w:tcBorders>
              <w:top w:val="nil"/>
              <w:left w:val="nil"/>
              <w:bottom w:val="single" w:color="auto" w:sz="4" w:space="0"/>
              <w:right w:val="single" w:color="auto" w:sz="4" w:space="0"/>
            </w:tcBorders>
            <w:noWrap w:val="0"/>
            <w:vAlign w:val="center"/>
          </w:tcPr>
          <w:p>
            <w:pPr>
              <w:rPr>
                <w:sz w:val="20"/>
                <w:szCs w:val="20"/>
              </w:rPr>
            </w:pPr>
            <w:r>
              <w:rPr>
                <w:sz w:val="20"/>
                <w:szCs w:val="20"/>
              </w:rPr>
              <w:t>　动态管理，做到应保尽保、应退尽退</w:t>
            </w:r>
          </w:p>
          <w:p>
            <w:pPr>
              <w:rPr>
                <w:rFonts w:asciiTheme="minorHAnsi" w:hAnsiTheme="minorHAnsi" w:eastAsiaTheme="minorEastAsia" w:cstheme="minorBidi"/>
                <w:kern w:val="2"/>
                <w:sz w:val="20"/>
                <w:szCs w:val="20"/>
                <w:lang w:val="en-US" w:eastAsia="zh-CN" w:bidi="ar-SA"/>
              </w:rPr>
            </w:pPr>
            <w:r>
              <w:rPr>
                <w:sz w:val="20"/>
                <w:szCs w:val="20"/>
              </w:rPr>
              <w:t>　</w:t>
            </w:r>
          </w:p>
        </w:tc>
        <w:tc>
          <w:tcPr>
            <w:tcW w:w="641" w:type="dxa"/>
            <w:tcBorders>
              <w:top w:val="nil"/>
              <w:left w:val="nil"/>
              <w:bottom w:val="single" w:color="auto" w:sz="4" w:space="0"/>
              <w:right w:val="single" w:color="auto" w:sz="4" w:space="0"/>
            </w:tcBorders>
            <w:noWrap w:val="0"/>
            <w:vAlign w:val="center"/>
          </w:tcPr>
          <w:p>
            <w:pPr>
              <w:rPr>
                <w:sz w:val="20"/>
                <w:szCs w:val="20"/>
              </w:rPr>
            </w:pPr>
            <w:r>
              <w:rPr>
                <w:sz w:val="20"/>
                <w:szCs w:val="20"/>
              </w:rPr>
              <w:t>　动态管理，做到应保尽保、应退尽退</w:t>
            </w:r>
          </w:p>
          <w:p>
            <w:pPr>
              <w:rPr>
                <w:rFonts w:asciiTheme="minorHAnsi" w:hAnsiTheme="minorHAnsi" w:eastAsiaTheme="minorEastAsia" w:cstheme="minorBidi"/>
                <w:kern w:val="2"/>
                <w:sz w:val="20"/>
                <w:szCs w:val="20"/>
                <w:lang w:val="en-US" w:eastAsia="zh-CN" w:bidi="ar-SA"/>
              </w:rPr>
            </w:pPr>
            <w:r>
              <w:rPr>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41" w:type="dxa"/>
            <w:vMerge w:val="continue"/>
            <w:tcBorders>
              <w:left w:val="nil"/>
              <w:bottom w:val="single" w:color="auto" w:sz="4" w:space="0"/>
              <w:right w:val="single" w:color="auto" w:sz="4" w:space="0"/>
            </w:tcBorders>
            <w:noWrap w:val="0"/>
            <w:vAlign w:val="center"/>
          </w:tcPr>
          <w:p>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sz w:val="20"/>
                <w:szCs w:val="20"/>
              </w:rPr>
            </w:pPr>
          </w:p>
        </w:tc>
        <w:tc>
          <w:tcPr>
            <w:tcW w:w="1276" w:type="dxa"/>
            <w:vMerge w:val="continue"/>
            <w:tcBorders>
              <w:left w:val="nil"/>
              <w:bottom w:val="single" w:color="auto" w:sz="4" w:space="0"/>
              <w:right w:val="single" w:color="auto" w:sz="4" w:space="0"/>
            </w:tcBorders>
            <w:noWrap w:val="0"/>
            <w:vAlign w:val="center"/>
          </w:tcPr>
          <w:p>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040"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时效</w:t>
            </w:r>
          </w:p>
          <w:p>
            <w:pPr>
              <w:jc w:val="center"/>
              <w:rPr>
                <w:sz w:val="20"/>
                <w:szCs w:val="20"/>
              </w:rPr>
            </w:pPr>
            <w:r>
              <w:rPr>
                <w:sz w:val="20"/>
                <w:szCs w:val="20"/>
              </w:rPr>
              <w:t>指标</w:t>
            </w:r>
          </w:p>
        </w:tc>
        <w:tc>
          <w:tcPr>
            <w:tcW w:w="1241" w:type="dxa"/>
            <w:vMerge w:val="restart"/>
            <w:tcBorders>
              <w:top w:val="nil"/>
              <w:left w:val="nil"/>
              <w:right w:val="single" w:color="auto" w:sz="4" w:space="0"/>
            </w:tcBorders>
            <w:noWrap w:val="0"/>
            <w:vAlign w:val="center"/>
          </w:tcPr>
          <w:p>
            <w:pPr>
              <w:rPr>
                <w:sz w:val="20"/>
                <w:szCs w:val="20"/>
              </w:rPr>
            </w:pPr>
            <w:r>
              <w:rPr>
                <w:sz w:val="20"/>
                <w:szCs w:val="20"/>
              </w:rPr>
              <w:t xml:space="preserve"> 指标1：100%</w:t>
            </w:r>
          </w:p>
        </w:tc>
        <w:tc>
          <w:tcPr>
            <w:tcW w:w="1134" w:type="dxa"/>
            <w:gridSpan w:val="2"/>
            <w:vMerge w:val="restart"/>
            <w:tcBorders>
              <w:top w:val="nil"/>
              <w:left w:val="nil"/>
              <w:right w:val="single" w:color="auto" w:sz="4" w:space="0"/>
            </w:tcBorders>
            <w:noWrap w:val="0"/>
            <w:vAlign w:val="center"/>
          </w:tcPr>
          <w:p>
            <w:pPr>
              <w:rPr>
                <w:sz w:val="20"/>
                <w:szCs w:val="20"/>
              </w:rPr>
            </w:pPr>
            <w:r>
              <w:rPr>
                <w:sz w:val="20"/>
                <w:szCs w:val="20"/>
              </w:rPr>
              <w:t>应保尽保、应退尽退</w:t>
            </w:r>
          </w:p>
        </w:tc>
        <w:tc>
          <w:tcPr>
            <w:tcW w:w="1276" w:type="dxa"/>
            <w:vMerge w:val="restart"/>
            <w:tcBorders>
              <w:top w:val="nil"/>
              <w:left w:val="nil"/>
              <w:right w:val="single" w:color="auto" w:sz="4" w:space="0"/>
            </w:tcBorders>
            <w:noWrap w:val="0"/>
            <w:vAlign w:val="center"/>
          </w:tcPr>
          <w:p>
            <w:pPr>
              <w:rPr>
                <w:sz w:val="20"/>
                <w:szCs w:val="20"/>
              </w:rPr>
            </w:pPr>
            <w:r>
              <w:rPr>
                <w:sz w:val="20"/>
                <w:szCs w:val="20"/>
              </w:rPr>
              <w:t>应保尽保、应退尽退</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时效</w:t>
            </w:r>
          </w:p>
          <w:p>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指标1：100%</w:t>
            </w:r>
          </w:p>
        </w:tc>
        <w:tc>
          <w:tcPr>
            <w:tcW w:w="623"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应保尽保、应退尽退</w:t>
            </w:r>
          </w:p>
        </w:tc>
        <w:tc>
          <w:tcPr>
            <w:tcW w:w="641"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应保尽保、应退尽退</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41" w:type="dxa"/>
            <w:vMerge w:val="continue"/>
            <w:tcBorders>
              <w:left w:val="nil"/>
              <w:bottom w:val="single" w:color="auto" w:sz="4" w:space="0"/>
              <w:right w:val="single" w:color="auto" w:sz="4" w:space="0"/>
            </w:tcBorders>
            <w:noWrap w:val="0"/>
            <w:vAlign w:val="center"/>
          </w:tcPr>
          <w:p>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sz w:val="20"/>
                <w:szCs w:val="20"/>
              </w:rPr>
            </w:pPr>
          </w:p>
        </w:tc>
        <w:tc>
          <w:tcPr>
            <w:tcW w:w="1276" w:type="dxa"/>
            <w:vMerge w:val="continue"/>
            <w:tcBorders>
              <w:left w:val="nil"/>
              <w:bottom w:val="single" w:color="auto" w:sz="4" w:space="0"/>
              <w:right w:val="single" w:color="auto" w:sz="4" w:space="0"/>
            </w:tcBorders>
            <w:noWrap w:val="0"/>
            <w:vAlign w:val="center"/>
          </w:tcPr>
          <w:p>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040"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成本</w:t>
            </w:r>
          </w:p>
          <w:p>
            <w:pPr>
              <w:jc w:val="center"/>
              <w:rPr>
                <w:sz w:val="20"/>
                <w:szCs w:val="20"/>
              </w:rPr>
            </w:pPr>
            <w:r>
              <w:rPr>
                <w:sz w:val="20"/>
                <w:szCs w:val="20"/>
              </w:rPr>
              <w:t>指标</w:t>
            </w:r>
          </w:p>
        </w:tc>
        <w:tc>
          <w:tcPr>
            <w:tcW w:w="1241" w:type="dxa"/>
            <w:vMerge w:val="restart"/>
            <w:tcBorders>
              <w:top w:val="nil"/>
              <w:left w:val="nil"/>
              <w:right w:val="single" w:color="auto" w:sz="4" w:space="0"/>
            </w:tcBorders>
            <w:noWrap w:val="0"/>
            <w:vAlign w:val="center"/>
          </w:tcPr>
          <w:p>
            <w:pPr>
              <w:rPr>
                <w:sz w:val="20"/>
                <w:szCs w:val="20"/>
              </w:rPr>
            </w:pPr>
            <w:r>
              <w:rPr>
                <w:sz w:val="20"/>
                <w:szCs w:val="20"/>
              </w:rPr>
              <w:t xml:space="preserve"> 指标1：≥90%</w:t>
            </w:r>
          </w:p>
        </w:tc>
        <w:tc>
          <w:tcPr>
            <w:tcW w:w="1134" w:type="dxa"/>
            <w:gridSpan w:val="2"/>
            <w:vMerge w:val="restart"/>
            <w:tcBorders>
              <w:top w:val="nil"/>
              <w:left w:val="nil"/>
              <w:right w:val="single" w:color="auto" w:sz="4" w:space="0"/>
            </w:tcBorders>
            <w:noWrap w:val="0"/>
            <w:vAlign w:val="center"/>
          </w:tcPr>
          <w:p>
            <w:pPr>
              <w:rPr>
                <w:sz w:val="20"/>
                <w:szCs w:val="20"/>
              </w:rPr>
            </w:pPr>
            <w:r>
              <w:rPr>
                <w:sz w:val="20"/>
                <w:szCs w:val="20"/>
              </w:rPr>
              <w:t>　</w:t>
            </w:r>
            <w:r>
              <w:rPr>
                <w:rFonts w:hAnsi="宋体"/>
                <w:sz w:val="20"/>
                <w:szCs w:val="20"/>
              </w:rPr>
              <w:t>资金社会化发放</w:t>
            </w:r>
          </w:p>
        </w:tc>
        <w:tc>
          <w:tcPr>
            <w:tcW w:w="1276" w:type="dxa"/>
            <w:vMerge w:val="restart"/>
            <w:tcBorders>
              <w:top w:val="nil"/>
              <w:left w:val="nil"/>
              <w:right w:val="single" w:color="auto" w:sz="4" w:space="0"/>
            </w:tcBorders>
            <w:noWrap w:val="0"/>
            <w:vAlign w:val="center"/>
          </w:tcPr>
          <w:p>
            <w:pPr>
              <w:rPr>
                <w:sz w:val="20"/>
                <w:szCs w:val="20"/>
              </w:rPr>
            </w:pPr>
            <w:r>
              <w:rPr>
                <w:sz w:val="20"/>
                <w:szCs w:val="20"/>
              </w:rPr>
              <w:t>　</w:t>
            </w:r>
            <w:r>
              <w:rPr>
                <w:rFonts w:hAnsi="宋体"/>
                <w:sz w:val="20"/>
                <w:szCs w:val="20"/>
              </w:rPr>
              <w:t>资金社会化发放</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成本</w:t>
            </w:r>
          </w:p>
          <w:p>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指标1：≥90%</w:t>
            </w:r>
          </w:p>
        </w:tc>
        <w:tc>
          <w:tcPr>
            <w:tcW w:w="623"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资金社会化发放</w:t>
            </w:r>
          </w:p>
        </w:tc>
        <w:tc>
          <w:tcPr>
            <w:tcW w:w="641"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资金社会化发放</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41" w:type="dxa"/>
            <w:vMerge w:val="continue"/>
            <w:tcBorders>
              <w:left w:val="nil"/>
              <w:bottom w:val="single" w:color="auto" w:sz="4" w:space="0"/>
              <w:right w:val="single" w:color="auto" w:sz="4" w:space="0"/>
            </w:tcBorders>
            <w:noWrap w:val="0"/>
            <w:vAlign w:val="center"/>
          </w:tcPr>
          <w:p>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sz w:val="20"/>
                <w:szCs w:val="20"/>
              </w:rPr>
            </w:pPr>
          </w:p>
        </w:tc>
        <w:tc>
          <w:tcPr>
            <w:tcW w:w="1276" w:type="dxa"/>
            <w:vMerge w:val="continue"/>
            <w:tcBorders>
              <w:left w:val="nil"/>
              <w:bottom w:val="single" w:color="auto" w:sz="4" w:space="0"/>
              <w:right w:val="single" w:color="auto" w:sz="4" w:space="0"/>
            </w:tcBorders>
            <w:noWrap w:val="0"/>
            <w:vAlign w:val="center"/>
          </w:tcPr>
          <w:p>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040"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0"/>
                <w:szCs w:val="20"/>
              </w:rPr>
            </w:pP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1241"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134" w:type="dxa"/>
            <w:gridSpan w:val="2"/>
            <w:tcBorders>
              <w:top w:val="nil"/>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1276"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1040"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p>
        </w:tc>
        <w:tc>
          <w:tcPr>
            <w:tcW w:w="623" w:type="dxa"/>
            <w:tcBorders>
              <w:top w:val="nil"/>
              <w:left w:val="nil"/>
              <w:bottom w:val="single" w:color="auto" w:sz="4" w:space="0"/>
              <w:right w:val="single" w:color="auto" w:sz="4" w:space="0"/>
            </w:tcBorders>
            <w:noWrap w:val="0"/>
            <w:vAlign w:val="center"/>
          </w:tcPr>
          <w:p>
            <w:pPr>
              <w:jc w:val="center"/>
              <w:rPr>
                <w:rFonts w:asciiTheme="minorHAnsi" w:hAnsiTheme="minorHAnsi" w:eastAsiaTheme="minorEastAsia" w:cstheme="minorBidi"/>
                <w:kern w:val="2"/>
                <w:sz w:val="20"/>
                <w:szCs w:val="20"/>
                <w:lang w:val="en-US" w:eastAsia="zh-CN" w:bidi="ar-SA"/>
              </w:rPr>
            </w:pPr>
            <w:r>
              <w:rPr>
                <w:sz w:val="20"/>
                <w:szCs w:val="20"/>
              </w:rPr>
              <w:t>　</w:t>
            </w:r>
          </w:p>
        </w:tc>
        <w:tc>
          <w:tcPr>
            <w:tcW w:w="641" w:type="dxa"/>
            <w:tcBorders>
              <w:top w:val="nil"/>
              <w:left w:val="nil"/>
              <w:bottom w:val="single" w:color="auto" w:sz="4" w:space="0"/>
              <w:right w:val="single" w:color="auto" w:sz="4" w:space="0"/>
            </w:tcBorders>
            <w:noWrap w:val="0"/>
            <w:vAlign w:val="center"/>
          </w:tcPr>
          <w:p>
            <w:pPr>
              <w:jc w:val="center"/>
              <w:rPr>
                <w:rFonts w:asciiTheme="minorHAnsi" w:hAnsiTheme="minorHAnsi" w:eastAsiaTheme="minorEastAsia" w:cstheme="minorBidi"/>
                <w:kern w:val="2"/>
                <w:sz w:val="20"/>
                <w:szCs w:val="20"/>
                <w:lang w:val="en-US" w:eastAsia="zh-CN" w:bidi="ar-SA"/>
              </w:rPr>
            </w:pPr>
            <w:r>
              <w:rPr>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sz w:val="20"/>
                <w:szCs w:val="20"/>
              </w:rPr>
            </w:pPr>
            <w:r>
              <w:rPr>
                <w:sz w:val="20"/>
                <w:szCs w:val="20"/>
              </w:rPr>
              <w:t>效</w:t>
            </w:r>
            <w:r>
              <w:rPr>
                <w:sz w:val="20"/>
                <w:szCs w:val="20"/>
              </w:rPr>
              <w:br w:type="textWrapping"/>
            </w:r>
            <w:r>
              <w:rPr>
                <w:sz w:val="20"/>
                <w:szCs w:val="20"/>
              </w:rPr>
              <w:t>益</w:t>
            </w:r>
            <w:r>
              <w:rPr>
                <w:sz w:val="20"/>
                <w:szCs w:val="20"/>
              </w:rPr>
              <w:br w:type="textWrapping"/>
            </w:r>
            <w:r>
              <w:rPr>
                <w:sz w:val="20"/>
                <w:szCs w:val="20"/>
              </w:rPr>
              <w:t>指</w:t>
            </w:r>
            <w:r>
              <w:rPr>
                <w:sz w:val="20"/>
                <w:szCs w:val="20"/>
              </w:rPr>
              <w:br w:type="textWrapping"/>
            </w:r>
            <w:r>
              <w:rPr>
                <w:sz w:val="20"/>
                <w:szCs w:val="20"/>
              </w:rPr>
              <w:t>标</w:t>
            </w: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经济效益指标</w:t>
            </w:r>
          </w:p>
        </w:tc>
        <w:tc>
          <w:tcPr>
            <w:tcW w:w="1241" w:type="dxa"/>
            <w:vMerge w:val="restart"/>
            <w:tcBorders>
              <w:top w:val="nil"/>
              <w:left w:val="nil"/>
              <w:right w:val="single" w:color="auto" w:sz="4" w:space="0"/>
            </w:tcBorders>
            <w:noWrap w:val="0"/>
            <w:vAlign w:val="center"/>
          </w:tcPr>
          <w:p>
            <w:pPr>
              <w:rPr>
                <w:sz w:val="20"/>
                <w:szCs w:val="20"/>
              </w:rPr>
            </w:pPr>
            <w:r>
              <w:rPr>
                <w:sz w:val="20"/>
                <w:szCs w:val="20"/>
              </w:rPr>
              <w:t xml:space="preserve"> 指标1：无</w:t>
            </w:r>
          </w:p>
        </w:tc>
        <w:tc>
          <w:tcPr>
            <w:tcW w:w="1134" w:type="dxa"/>
            <w:gridSpan w:val="2"/>
            <w:vMerge w:val="restart"/>
            <w:tcBorders>
              <w:top w:val="nil"/>
              <w:left w:val="nil"/>
              <w:right w:val="single" w:color="auto" w:sz="4" w:space="0"/>
            </w:tcBorders>
            <w:noWrap w:val="0"/>
            <w:vAlign w:val="center"/>
          </w:tcPr>
          <w:p>
            <w:pPr>
              <w:rPr>
                <w:sz w:val="20"/>
                <w:szCs w:val="20"/>
              </w:rPr>
            </w:pPr>
            <w:r>
              <w:rPr>
                <w:sz w:val="20"/>
                <w:szCs w:val="20"/>
              </w:rPr>
              <w:t>　</w:t>
            </w:r>
            <w:r>
              <w:rPr>
                <w:rFonts w:hAnsi="宋体"/>
                <w:sz w:val="20"/>
                <w:szCs w:val="20"/>
              </w:rPr>
              <w:t>无</w:t>
            </w:r>
          </w:p>
        </w:tc>
        <w:tc>
          <w:tcPr>
            <w:tcW w:w="1276" w:type="dxa"/>
            <w:vMerge w:val="restart"/>
            <w:tcBorders>
              <w:top w:val="nil"/>
              <w:left w:val="nil"/>
              <w:right w:val="single" w:color="auto" w:sz="4" w:space="0"/>
            </w:tcBorders>
            <w:noWrap w:val="0"/>
            <w:vAlign w:val="center"/>
          </w:tcPr>
          <w:p>
            <w:pPr>
              <w:rPr>
                <w:sz w:val="20"/>
                <w:szCs w:val="20"/>
              </w:rPr>
            </w:pPr>
            <w:r>
              <w:rPr>
                <w:sz w:val="20"/>
                <w:szCs w:val="20"/>
              </w:rPr>
              <w:t>　</w:t>
            </w:r>
            <w:r>
              <w:rPr>
                <w:rFonts w:hAnsi="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经济效</w:t>
            </w:r>
          </w:p>
          <w:p>
            <w:pPr>
              <w:jc w:val="center"/>
              <w:rPr>
                <w:sz w:val="20"/>
                <w:szCs w:val="20"/>
              </w:rPr>
            </w:pPr>
            <w:r>
              <w:rPr>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tc>
        <w:tc>
          <w:tcPr>
            <w:tcW w:w="641"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41" w:type="dxa"/>
            <w:vMerge w:val="continue"/>
            <w:tcBorders>
              <w:left w:val="nil"/>
              <w:bottom w:val="single" w:color="auto" w:sz="4" w:space="0"/>
              <w:right w:val="single" w:color="auto" w:sz="4" w:space="0"/>
            </w:tcBorders>
            <w:noWrap w:val="0"/>
            <w:vAlign w:val="center"/>
          </w:tcPr>
          <w:p>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sz w:val="20"/>
                <w:szCs w:val="20"/>
              </w:rPr>
            </w:pPr>
          </w:p>
        </w:tc>
        <w:tc>
          <w:tcPr>
            <w:tcW w:w="1276" w:type="dxa"/>
            <w:vMerge w:val="continue"/>
            <w:tcBorders>
              <w:left w:val="nil"/>
              <w:bottom w:val="single" w:color="auto" w:sz="4" w:space="0"/>
              <w:right w:val="single" w:color="auto" w:sz="4" w:space="0"/>
            </w:tcBorders>
            <w:noWrap w:val="0"/>
            <w:vAlign w:val="center"/>
          </w:tcPr>
          <w:p>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040"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社会效益指标</w:t>
            </w:r>
          </w:p>
        </w:tc>
        <w:tc>
          <w:tcPr>
            <w:tcW w:w="1241" w:type="dxa"/>
            <w:vMerge w:val="restart"/>
            <w:tcBorders>
              <w:top w:val="nil"/>
              <w:left w:val="nil"/>
              <w:right w:val="single" w:color="auto" w:sz="4" w:space="0"/>
            </w:tcBorders>
            <w:noWrap w:val="0"/>
            <w:vAlign w:val="center"/>
          </w:tcPr>
          <w:p>
            <w:pPr>
              <w:rPr>
                <w:sz w:val="20"/>
                <w:szCs w:val="20"/>
              </w:rPr>
            </w:pPr>
            <w:r>
              <w:rPr>
                <w:sz w:val="20"/>
                <w:szCs w:val="20"/>
              </w:rPr>
              <w:t xml:space="preserve"> 指标1：≥90%</w:t>
            </w:r>
          </w:p>
        </w:tc>
        <w:tc>
          <w:tcPr>
            <w:tcW w:w="1134" w:type="dxa"/>
            <w:gridSpan w:val="2"/>
            <w:vMerge w:val="restart"/>
            <w:tcBorders>
              <w:top w:val="nil"/>
              <w:left w:val="nil"/>
              <w:right w:val="single" w:color="auto" w:sz="4" w:space="0"/>
            </w:tcBorders>
            <w:noWrap w:val="0"/>
            <w:vAlign w:val="center"/>
          </w:tcPr>
          <w:p>
            <w:pPr>
              <w:rPr>
                <w:sz w:val="20"/>
                <w:szCs w:val="20"/>
              </w:rPr>
            </w:pPr>
            <w:r>
              <w:rPr>
                <w:sz w:val="20"/>
                <w:szCs w:val="20"/>
              </w:rPr>
              <w:t>维护特困供养人员利益</w:t>
            </w:r>
          </w:p>
        </w:tc>
        <w:tc>
          <w:tcPr>
            <w:tcW w:w="1276" w:type="dxa"/>
            <w:vMerge w:val="restart"/>
            <w:tcBorders>
              <w:top w:val="nil"/>
              <w:left w:val="nil"/>
              <w:right w:val="single" w:color="auto" w:sz="4" w:space="0"/>
            </w:tcBorders>
            <w:noWrap w:val="0"/>
            <w:vAlign w:val="center"/>
          </w:tcPr>
          <w:p>
            <w:pPr>
              <w:rPr>
                <w:sz w:val="20"/>
                <w:szCs w:val="20"/>
              </w:rPr>
            </w:pPr>
            <w:r>
              <w:rPr>
                <w:sz w:val="20"/>
                <w:szCs w:val="20"/>
              </w:rPr>
              <w:t>　</w:t>
            </w:r>
            <w:r>
              <w:rPr>
                <w:rFonts w:hAnsi="宋体"/>
                <w:sz w:val="20"/>
                <w:szCs w:val="20"/>
              </w:rPr>
              <w:t>维护特困供养人员利益</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社会效</w:t>
            </w:r>
          </w:p>
          <w:p>
            <w:pPr>
              <w:jc w:val="center"/>
              <w:rPr>
                <w:sz w:val="20"/>
                <w:szCs w:val="20"/>
              </w:rPr>
            </w:pPr>
            <w:r>
              <w:rPr>
                <w:sz w:val="20"/>
                <w:szCs w:val="20"/>
              </w:rPr>
              <w:t>益指标</w:t>
            </w:r>
          </w:p>
        </w:tc>
        <w:tc>
          <w:tcPr>
            <w:tcW w:w="1040"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指标1：≥90%</w:t>
            </w:r>
          </w:p>
        </w:tc>
        <w:tc>
          <w:tcPr>
            <w:tcW w:w="623"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维护特困供养人员利益</w:t>
            </w:r>
          </w:p>
        </w:tc>
        <w:tc>
          <w:tcPr>
            <w:tcW w:w="641"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维护特困供养人员利益</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41" w:type="dxa"/>
            <w:vMerge w:val="continue"/>
            <w:tcBorders>
              <w:left w:val="nil"/>
              <w:bottom w:val="single" w:color="auto" w:sz="4" w:space="0"/>
              <w:right w:val="single" w:color="auto" w:sz="4" w:space="0"/>
            </w:tcBorders>
            <w:noWrap w:val="0"/>
            <w:vAlign w:val="center"/>
          </w:tcPr>
          <w:p>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sz w:val="20"/>
                <w:szCs w:val="20"/>
              </w:rPr>
            </w:pPr>
          </w:p>
        </w:tc>
        <w:tc>
          <w:tcPr>
            <w:tcW w:w="1276" w:type="dxa"/>
            <w:vMerge w:val="continue"/>
            <w:tcBorders>
              <w:left w:val="nil"/>
              <w:bottom w:val="single" w:color="auto" w:sz="4" w:space="0"/>
              <w:right w:val="single" w:color="auto" w:sz="4" w:space="0"/>
            </w:tcBorders>
            <w:noWrap w:val="0"/>
            <w:vAlign w:val="center"/>
          </w:tcPr>
          <w:p>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040"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生态效益指标</w:t>
            </w:r>
          </w:p>
        </w:tc>
        <w:tc>
          <w:tcPr>
            <w:tcW w:w="1241" w:type="dxa"/>
            <w:vMerge w:val="restart"/>
            <w:tcBorders>
              <w:top w:val="nil"/>
              <w:left w:val="nil"/>
              <w:right w:val="single" w:color="auto" w:sz="4" w:space="0"/>
            </w:tcBorders>
            <w:noWrap w:val="0"/>
            <w:vAlign w:val="center"/>
          </w:tcPr>
          <w:p>
            <w:pPr>
              <w:rPr>
                <w:sz w:val="20"/>
                <w:szCs w:val="20"/>
              </w:rPr>
            </w:pPr>
            <w:r>
              <w:rPr>
                <w:sz w:val="20"/>
                <w:szCs w:val="20"/>
              </w:rPr>
              <w:t xml:space="preserve"> 指标1：无</w:t>
            </w:r>
          </w:p>
        </w:tc>
        <w:tc>
          <w:tcPr>
            <w:tcW w:w="1134" w:type="dxa"/>
            <w:gridSpan w:val="2"/>
            <w:vMerge w:val="restart"/>
            <w:tcBorders>
              <w:top w:val="nil"/>
              <w:left w:val="nil"/>
              <w:right w:val="single" w:color="auto" w:sz="4" w:space="0"/>
            </w:tcBorders>
            <w:noWrap w:val="0"/>
            <w:vAlign w:val="center"/>
          </w:tcPr>
          <w:p>
            <w:pPr>
              <w:rPr>
                <w:sz w:val="20"/>
                <w:szCs w:val="20"/>
              </w:rPr>
            </w:pPr>
            <w:r>
              <w:rPr>
                <w:sz w:val="20"/>
                <w:szCs w:val="20"/>
              </w:rPr>
              <w:t>　</w:t>
            </w:r>
            <w:r>
              <w:rPr>
                <w:rFonts w:hAnsi="宋体"/>
                <w:sz w:val="20"/>
                <w:szCs w:val="20"/>
              </w:rPr>
              <w:t>无</w:t>
            </w:r>
          </w:p>
        </w:tc>
        <w:tc>
          <w:tcPr>
            <w:tcW w:w="1276" w:type="dxa"/>
            <w:vMerge w:val="restart"/>
            <w:tcBorders>
              <w:top w:val="nil"/>
              <w:left w:val="nil"/>
              <w:right w:val="single" w:color="auto" w:sz="4" w:space="0"/>
            </w:tcBorders>
            <w:noWrap w:val="0"/>
            <w:vAlign w:val="center"/>
          </w:tcPr>
          <w:p>
            <w:pPr>
              <w:rPr>
                <w:sz w:val="20"/>
                <w:szCs w:val="20"/>
              </w:rPr>
            </w:pPr>
            <w:r>
              <w:rPr>
                <w:sz w:val="20"/>
                <w:szCs w:val="20"/>
              </w:rPr>
              <w:t>　</w:t>
            </w:r>
            <w:r>
              <w:rPr>
                <w:rFonts w:hAnsi="宋体"/>
                <w:sz w:val="20"/>
                <w:szCs w:val="20"/>
              </w:rPr>
              <w:t>无</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生态效益指标</w:t>
            </w:r>
          </w:p>
        </w:tc>
        <w:tc>
          <w:tcPr>
            <w:tcW w:w="1040"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指标1：无</w:t>
            </w:r>
          </w:p>
        </w:tc>
        <w:tc>
          <w:tcPr>
            <w:tcW w:w="623"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tc>
        <w:tc>
          <w:tcPr>
            <w:tcW w:w="641"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无</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41" w:type="dxa"/>
            <w:vMerge w:val="continue"/>
            <w:tcBorders>
              <w:left w:val="nil"/>
              <w:bottom w:val="single" w:color="auto" w:sz="4" w:space="0"/>
              <w:right w:val="single" w:color="auto" w:sz="4" w:space="0"/>
            </w:tcBorders>
            <w:noWrap w:val="0"/>
            <w:vAlign w:val="center"/>
          </w:tcPr>
          <w:p>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sz w:val="20"/>
                <w:szCs w:val="20"/>
              </w:rPr>
            </w:pPr>
          </w:p>
        </w:tc>
        <w:tc>
          <w:tcPr>
            <w:tcW w:w="1276" w:type="dxa"/>
            <w:vMerge w:val="continue"/>
            <w:tcBorders>
              <w:left w:val="nil"/>
              <w:bottom w:val="single" w:color="auto" w:sz="4" w:space="0"/>
              <w:right w:val="single" w:color="auto" w:sz="4" w:space="0"/>
            </w:tcBorders>
            <w:noWrap w:val="0"/>
            <w:vAlign w:val="center"/>
          </w:tcPr>
          <w:p>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040"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可持续影响</w:t>
            </w:r>
            <w:r>
              <w:rPr>
                <w:sz w:val="20"/>
                <w:szCs w:val="20"/>
              </w:rPr>
              <w:br w:type="textWrapping"/>
            </w:r>
            <w:r>
              <w:rPr>
                <w:sz w:val="20"/>
                <w:szCs w:val="20"/>
              </w:rPr>
              <w:t>指标</w:t>
            </w:r>
          </w:p>
        </w:tc>
        <w:tc>
          <w:tcPr>
            <w:tcW w:w="1241" w:type="dxa"/>
            <w:vMerge w:val="restart"/>
            <w:tcBorders>
              <w:top w:val="nil"/>
              <w:left w:val="nil"/>
              <w:right w:val="single" w:color="auto" w:sz="4" w:space="0"/>
            </w:tcBorders>
            <w:noWrap w:val="0"/>
            <w:vAlign w:val="center"/>
          </w:tcPr>
          <w:p>
            <w:pPr>
              <w:rPr>
                <w:sz w:val="20"/>
                <w:szCs w:val="20"/>
              </w:rPr>
            </w:pPr>
            <w:r>
              <w:rPr>
                <w:sz w:val="20"/>
                <w:szCs w:val="20"/>
              </w:rPr>
              <w:t xml:space="preserve"> 指标1：≥90%</w:t>
            </w:r>
          </w:p>
        </w:tc>
        <w:tc>
          <w:tcPr>
            <w:tcW w:w="1134" w:type="dxa"/>
            <w:gridSpan w:val="2"/>
            <w:vMerge w:val="restart"/>
            <w:tcBorders>
              <w:top w:val="nil"/>
              <w:left w:val="nil"/>
              <w:right w:val="single" w:color="auto" w:sz="4" w:space="0"/>
            </w:tcBorders>
            <w:noWrap w:val="0"/>
            <w:vAlign w:val="center"/>
          </w:tcPr>
          <w:p>
            <w:pPr>
              <w:rPr>
                <w:sz w:val="20"/>
                <w:szCs w:val="20"/>
              </w:rPr>
            </w:pPr>
            <w:r>
              <w:rPr>
                <w:sz w:val="20"/>
                <w:szCs w:val="20"/>
              </w:rPr>
              <w:t>共享改革发展成果</w:t>
            </w:r>
          </w:p>
        </w:tc>
        <w:tc>
          <w:tcPr>
            <w:tcW w:w="1276" w:type="dxa"/>
            <w:vMerge w:val="restart"/>
            <w:tcBorders>
              <w:top w:val="nil"/>
              <w:left w:val="nil"/>
              <w:right w:val="single" w:color="auto" w:sz="4" w:space="0"/>
            </w:tcBorders>
            <w:noWrap w:val="0"/>
            <w:vAlign w:val="center"/>
          </w:tcPr>
          <w:p>
            <w:pPr>
              <w:rPr>
                <w:sz w:val="20"/>
                <w:szCs w:val="20"/>
              </w:rPr>
            </w:pPr>
            <w:r>
              <w:rPr>
                <w:sz w:val="20"/>
                <w:szCs w:val="20"/>
              </w:rPr>
              <w:t>　</w:t>
            </w:r>
            <w:r>
              <w:rPr>
                <w:rFonts w:hAnsi="宋体"/>
                <w:sz w:val="20"/>
                <w:szCs w:val="20"/>
              </w:rPr>
              <w:t>共享改革发展成果</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可持续</w:t>
            </w:r>
          </w:p>
          <w:p>
            <w:pPr>
              <w:jc w:val="center"/>
              <w:rPr>
                <w:sz w:val="20"/>
                <w:szCs w:val="20"/>
              </w:rPr>
            </w:pPr>
            <w:r>
              <w:rPr>
                <w:sz w:val="20"/>
                <w:szCs w:val="20"/>
              </w:rPr>
              <w:t>影响</w:t>
            </w:r>
          </w:p>
          <w:p>
            <w:pPr>
              <w:jc w:val="center"/>
              <w:rPr>
                <w:sz w:val="20"/>
                <w:szCs w:val="20"/>
              </w:rPr>
            </w:pPr>
            <w:r>
              <w:rPr>
                <w:sz w:val="20"/>
                <w:szCs w:val="20"/>
              </w:rPr>
              <w:t>指标</w:t>
            </w:r>
          </w:p>
        </w:tc>
        <w:tc>
          <w:tcPr>
            <w:tcW w:w="1040"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指标1：≥90%</w:t>
            </w:r>
          </w:p>
        </w:tc>
        <w:tc>
          <w:tcPr>
            <w:tcW w:w="623"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共享改革发展成果</w:t>
            </w:r>
          </w:p>
        </w:tc>
        <w:tc>
          <w:tcPr>
            <w:tcW w:w="641"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r>
              <w:rPr>
                <w:rFonts w:hAnsi="宋体"/>
                <w:sz w:val="20"/>
                <w:szCs w:val="20"/>
              </w:rPr>
              <w:t>共享改革发展成果</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41" w:type="dxa"/>
            <w:vMerge w:val="continue"/>
            <w:tcBorders>
              <w:left w:val="nil"/>
              <w:bottom w:val="single" w:color="auto" w:sz="4" w:space="0"/>
              <w:right w:val="single" w:color="auto" w:sz="4" w:space="0"/>
            </w:tcBorders>
            <w:noWrap w:val="0"/>
            <w:vAlign w:val="center"/>
          </w:tcPr>
          <w:p>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pPr>
              <w:rPr>
                <w:sz w:val="20"/>
                <w:szCs w:val="20"/>
              </w:rPr>
            </w:pPr>
          </w:p>
        </w:tc>
        <w:tc>
          <w:tcPr>
            <w:tcW w:w="1276" w:type="dxa"/>
            <w:vMerge w:val="continue"/>
            <w:tcBorders>
              <w:left w:val="nil"/>
              <w:bottom w:val="single" w:color="auto" w:sz="4" w:space="0"/>
              <w:right w:val="single" w:color="auto" w:sz="4" w:space="0"/>
            </w:tcBorders>
            <w:noWrap w:val="0"/>
            <w:vAlign w:val="center"/>
          </w:tcPr>
          <w:p>
            <w:pP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040"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sz w:val="20"/>
                <w:szCs w:val="20"/>
              </w:rPr>
            </w:pP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1241"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134" w:type="dxa"/>
            <w:gridSpan w:val="2"/>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276"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1040" w:type="dxa"/>
            <w:tcBorders>
              <w:top w:val="nil"/>
              <w:left w:val="nil"/>
              <w:bottom w:val="single" w:color="auto" w:sz="4" w:space="0"/>
              <w:right w:val="nil"/>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p>
        </w:tc>
        <w:tc>
          <w:tcPr>
            <w:tcW w:w="641"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满意度指标</w:t>
            </w:r>
          </w:p>
        </w:tc>
        <w:tc>
          <w:tcPr>
            <w:tcW w:w="940"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服务对象满意度指标</w:t>
            </w:r>
          </w:p>
        </w:tc>
        <w:tc>
          <w:tcPr>
            <w:tcW w:w="1241" w:type="dxa"/>
            <w:vMerge w:val="restart"/>
            <w:tcBorders>
              <w:top w:val="nil"/>
              <w:left w:val="nil"/>
              <w:right w:val="single" w:color="auto" w:sz="4" w:space="0"/>
            </w:tcBorders>
            <w:noWrap w:val="0"/>
            <w:vAlign w:val="center"/>
          </w:tcPr>
          <w:p>
            <w:pPr>
              <w:rPr>
                <w:sz w:val="20"/>
                <w:szCs w:val="20"/>
              </w:rPr>
            </w:pPr>
            <w:r>
              <w:rPr>
                <w:sz w:val="20"/>
                <w:szCs w:val="20"/>
              </w:rPr>
              <w:t xml:space="preserve"> 指标1：≥85%</w:t>
            </w:r>
          </w:p>
        </w:tc>
        <w:tc>
          <w:tcPr>
            <w:tcW w:w="1134" w:type="dxa"/>
            <w:gridSpan w:val="2"/>
            <w:vMerge w:val="restart"/>
            <w:tcBorders>
              <w:top w:val="nil"/>
              <w:left w:val="nil"/>
              <w:right w:val="single" w:color="auto" w:sz="4" w:space="0"/>
            </w:tcBorders>
            <w:noWrap w:val="0"/>
            <w:vAlign w:val="center"/>
          </w:tcPr>
          <w:p>
            <w:pPr>
              <w:jc w:val="center"/>
              <w:rPr>
                <w:sz w:val="20"/>
                <w:szCs w:val="20"/>
              </w:rPr>
            </w:pPr>
            <w:r>
              <w:rPr>
                <w:sz w:val="20"/>
                <w:szCs w:val="20"/>
              </w:rPr>
              <w:t>提升群众满意度</w:t>
            </w:r>
          </w:p>
        </w:tc>
        <w:tc>
          <w:tcPr>
            <w:tcW w:w="1276" w:type="dxa"/>
            <w:vMerge w:val="restart"/>
            <w:tcBorders>
              <w:top w:val="nil"/>
              <w:left w:val="nil"/>
              <w:right w:val="single" w:color="auto" w:sz="4" w:space="0"/>
            </w:tcBorders>
            <w:noWrap w:val="0"/>
            <w:vAlign w:val="center"/>
          </w:tcPr>
          <w:p>
            <w:pPr>
              <w:jc w:val="center"/>
              <w:rPr>
                <w:sz w:val="20"/>
                <w:szCs w:val="20"/>
              </w:rPr>
            </w:pPr>
            <w:r>
              <w:rPr>
                <w:sz w:val="20"/>
                <w:szCs w:val="20"/>
              </w:rPr>
              <w:t>提升群众满意度</w:t>
            </w:r>
          </w:p>
        </w:tc>
        <w:tc>
          <w:tcPr>
            <w:tcW w:w="889" w:type="dxa"/>
            <w:vMerge w:val="restart"/>
            <w:tcBorders>
              <w:top w:val="nil"/>
              <w:left w:val="single" w:color="auto" w:sz="4" w:space="0"/>
              <w:bottom w:val="single" w:color="000000" w:sz="4" w:space="0"/>
              <w:right w:val="single" w:color="auto" w:sz="4" w:space="0"/>
            </w:tcBorders>
            <w:noWrap w:val="0"/>
            <w:vAlign w:val="center"/>
          </w:tcPr>
          <w:p>
            <w:pPr>
              <w:jc w:val="center"/>
              <w:rPr>
                <w:sz w:val="20"/>
                <w:szCs w:val="20"/>
              </w:rPr>
            </w:pPr>
            <w:r>
              <w:rPr>
                <w:sz w:val="20"/>
                <w:szCs w:val="20"/>
              </w:rPr>
              <w:t>服务对</w:t>
            </w:r>
          </w:p>
          <w:p>
            <w:pPr>
              <w:jc w:val="center"/>
              <w:rPr>
                <w:sz w:val="20"/>
                <w:szCs w:val="20"/>
              </w:rPr>
            </w:pPr>
            <w:r>
              <w:rPr>
                <w:sz w:val="20"/>
                <w:szCs w:val="20"/>
              </w:rPr>
              <w:t>象满意</w:t>
            </w:r>
          </w:p>
          <w:p>
            <w:pPr>
              <w:jc w:val="center"/>
              <w:rPr>
                <w:sz w:val="20"/>
                <w:szCs w:val="20"/>
              </w:rPr>
            </w:pPr>
            <w:r>
              <w:rPr>
                <w:sz w:val="20"/>
                <w:szCs w:val="20"/>
              </w:rPr>
              <w:t>度指标</w:t>
            </w:r>
          </w:p>
        </w:tc>
        <w:tc>
          <w:tcPr>
            <w:tcW w:w="1040" w:type="dxa"/>
            <w:tcBorders>
              <w:top w:val="nil"/>
              <w:left w:val="nil"/>
              <w:bottom w:val="single" w:color="auto" w:sz="4" w:space="0"/>
              <w:right w:val="single" w:color="auto" w:sz="4" w:space="0"/>
            </w:tcBorders>
            <w:noWrap w:val="0"/>
            <w:vAlign w:val="center"/>
          </w:tcPr>
          <w:p>
            <w:pPr>
              <w:rPr>
                <w:rFonts w:asciiTheme="minorHAnsi" w:hAnsiTheme="minorHAnsi" w:eastAsiaTheme="minorEastAsia" w:cstheme="minorBidi"/>
                <w:kern w:val="2"/>
                <w:sz w:val="20"/>
                <w:szCs w:val="20"/>
                <w:lang w:val="en-US" w:eastAsia="zh-CN" w:bidi="ar-SA"/>
              </w:rPr>
            </w:pPr>
            <w:r>
              <w:rPr>
                <w:sz w:val="20"/>
                <w:szCs w:val="20"/>
              </w:rPr>
              <w:t xml:space="preserve"> 指标1：≥85%</w:t>
            </w:r>
          </w:p>
        </w:tc>
        <w:tc>
          <w:tcPr>
            <w:tcW w:w="623" w:type="dxa"/>
            <w:tcBorders>
              <w:top w:val="nil"/>
              <w:left w:val="nil"/>
              <w:bottom w:val="single" w:color="auto" w:sz="4" w:space="0"/>
              <w:right w:val="single" w:color="auto" w:sz="4" w:space="0"/>
            </w:tcBorders>
            <w:noWrap w:val="0"/>
            <w:vAlign w:val="center"/>
          </w:tcPr>
          <w:p>
            <w:pPr>
              <w:jc w:val="center"/>
              <w:rPr>
                <w:rFonts w:asciiTheme="minorHAnsi" w:hAnsiTheme="minorHAnsi" w:eastAsiaTheme="minorEastAsia" w:cstheme="minorBidi"/>
                <w:kern w:val="2"/>
                <w:sz w:val="20"/>
                <w:szCs w:val="20"/>
                <w:lang w:val="en-US" w:eastAsia="zh-CN" w:bidi="ar-SA"/>
              </w:rPr>
            </w:pPr>
            <w:r>
              <w:rPr>
                <w:sz w:val="20"/>
                <w:szCs w:val="20"/>
              </w:rPr>
              <w:t>提升群众满意度</w:t>
            </w:r>
          </w:p>
        </w:tc>
        <w:tc>
          <w:tcPr>
            <w:tcW w:w="641" w:type="dxa"/>
            <w:tcBorders>
              <w:top w:val="nil"/>
              <w:left w:val="nil"/>
              <w:bottom w:val="single" w:color="auto" w:sz="4" w:space="0"/>
              <w:right w:val="single" w:color="auto" w:sz="4" w:space="0"/>
            </w:tcBorders>
            <w:noWrap w:val="0"/>
            <w:vAlign w:val="center"/>
          </w:tcPr>
          <w:p>
            <w:pPr>
              <w:jc w:val="center"/>
              <w:rPr>
                <w:rFonts w:asciiTheme="minorHAnsi" w:hAnsiTheme="minorHAnsi" w:eastAsiaTheme="minorEastAsia" w:cstheme="minorBidi"/>
                <w:kern w:val="2"/>
                <w:sz w:val="20"/>
                <w:szCs w:val="20"/>
                <w:lang w:val="en-US" w:eastAsia="zh-CN" w:bidi="ar-SA"/>
              </w:rPr>
            </w:pPr>
            <w:r>
              <w:rPr>
                <w:sz w:val="20"/>
                <w:szCs w:val="20"/>
              </w:rPr>
              <w:t>提升群众满意度</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94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241" w:type="dxa"/>
            <w:vMerge w:val="continue"/>
            <w:tcBorders>
              <w:left w:val="nil"/>
              <w:bottom w:val="single" w:color="auto" w:sz="4" w:space="0"/>
              <w:right w:val="single" w:color="auto" w:sz="4" w:space="0"/>
            </w:tcBorders>
            <w:noWrap w:val="0"/>
            <w:vAlign w:val="center"/>
          </w:tcPr>
          <w:p>
            <w:pPr>
              <w:rPr>
                <w:sz w:val="20"/>
                <w:szCs w:val="20"/>
              </w:rPr>
            </w:pPr>
          </w:p>
        </w:tc>
        <w:tc>
          <w:tcPr>
            <w:tcW w:w="1134" w:type="dxa"/>
            <w:gridSpan w:val="2"/>
            <w:vMerge w:val="continue"/>
            <w:tcBorders>
              <w:left w:val="nil"/>
              <w:bottom w:val="single" w:color="auto" w:sz="4" w:space="0"/>
              <w:right w:val="single" w:color="auto" w:sz="4" w:space="0"/>
            </w:tcBorders>
            <w:noWrap w:val="0"/>
            <w:vAlign w:val="center"/>
          </w:tcPr>
          <w:p>
            <w:pPr>
              <w:jc w:val="center"/>
              <w:rPr>
                <w:sz w:val="20"/>
                <w:szCs w:val="20"/>
              </w:rPr>
            </w:pPr>
          </w:p>
        </w:tc>
        <w:tc>
          <w:tcPr>
            <w:tcW w:w="1276" w:type="dxa"/>
            <w:vMerge w:val="continue"/>
            <w:tcBorders>
              <w:left w:val="nil"/>
              <w:bottom w:val="single" w:color="auto" w:sz="4" w:space="0"/>
              <w:right w:val="single" w:color="auto" w:sz="4" w:space="0"/>
            </w:tcBorders>
            <w:noWrap w:val="0"/>
            <w:vAlign w:val="center"/>
          </w:tcPr>
          <w:p>
            <w:pPr>
              <w:jc w:val="center"/>
              <w:rPr>
                <w:sz w:val="20"/>
                <w:szCs w:val="20"/>
              </w:rPr>
            </w:pPr>
          </w:p>
        </w:tc>
        <w:tc>
          <w:tcPr>
            <w:tcW w:w="889"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1040" w:type="dxa"/>
            <w:tcBorders>
              <w:top w:val="nil"/>
              <w:left w:val="nil"/>
              <w:bottom w:val="single" w:color="auto" w:sz="4" w:space="0"/>
              <w:right w:val="single" w:color="auto" w:sz="4" w:space="0"/>
            </w:tcBorders>
            <w:noWrap w:val="0"/>
            <w:vAlign w:val="center"/>
          </w:tcPr>
          <w:p>
            <w:pPr>
              <w:rPr>
                <w:sz w:val="20"/>
                <w:szCs w:val="20"/>
              </w:rPr>
            </w:pPr>
            <w:r>
              <w:rPr>
                <w:sz w:val="20"/>
                <w:szCs w:val="20"/>
              </w:rPr>
              <w:t xml:space="preserve"> ……</w:t>
            </w:r>
          </w:p>
        </w:tc>
        <w:tc>
          <w:tcPr>
            <w:tcW w:w="623"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r>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820" w:type="dxa"/>
            <w:vMerge w:val="continue"/>
            <w:tcBorders>
              <w:top w:val="nil"/>
              <w:left w:val="single" w:color="auto" w:sz="4" w:space="0"/>
              <w:bottom w:val="single" w:color="000000" w:sz="4" w:space="0"/>
              <w:right w:val="single" w:color="auto" w:sz="4" w:space="0"/>
            </w:tcBorders>
            <w:noWrap w:val="0"/>
            <w:vAlign w:val="center"/>
          </w:tcPr>
          <w:p>
            <w:pPr>
              <w:rPr>
                <w:sz w:val="20"/>
                <w:szCs w:val="20"/>
              </w:rPr>
            </w:pP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1241"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c>
          <w:tcPr>
            <w:tcW w:w="1134" w:type="dxa"/>
            <w:gridSpan w:val="2"/>
            <w:tcBorders>
              <w:top w:val="nil"/>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1276"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　</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sz w:val="20"/>
                <w:szCs w:val="20"/>
              </w:rPr>
              <w:t>……</w:t>
            </w:r>
          </w:p>
        </w:tc>
        <w:tc>
          <w:tcPr>
            <w:tcW w:w="1040" w:type="dxa"/>
            <w:tcBorders>
              <w:top w:val="nil"/>
              <w:left w:val="nil"/>
              <w:bottom w:val="single" w:color="auto" w:sz="4" w:space="0"/>
              <w:right w:val="nil"/>
            </w:tcBorders>
            <w:noWrap w:val="0"/>
            <w:vAlign w:val="center"/>
          </w:tcPr>
          <w:p>
            <w:pPr>
              <w:rPr>
                <w:sz w:val="20"/>
                <w:szCs w:val="20"/>
              </w:rPr>
            </w:pPr>
            <w:r>
              <w:rPr>
                <w:sz w:val="20"/>
                <w:szCs w:val="20"/>
              </w:rPr>
              <w:t>　</w:t>
            </w:r>
          </w:p>
        </w:tc>
        <w:tc>
          <w:tcPr>
            <w:tcW w:w="623" w:type="dxa"/>
            <w:tcBorders>
              <w:top w:val="nil"/>
              <w:left w:val="single" w:color="auto" w:sz="4" w:space="0"/>
              <w:bottom w:val="single" w:color="auto" w:sz="4" w:space="0"/>
              <w:right w:val="single" w:color="auto" w:sz="4" w:space="0"/>
            </w:tcBorders>
            <w:noWrap w:val="0"/>
            <w:vAlign w:val="center"/>
          </w:tcPr>
          <w:p>
            <w:pPr>
              <w:rPr>
                <w:sz w:val="20"/>
                <w:szCs w:val="20"/>
              </w:rPr>
            </w:pPr>
            <w:r>
              <w:rPr>
                <w:sz w:val="20"/>
                <w:szCs w:val="20"/>
              </w:rPr>
              <w:t>　</w:t>
            </w:r>
          </w:p>
        </w:tc>
        <w:tc>
          <w:tcPr>
            <w:tcW w:w="641" w:type="dxa"/>
            <w:tcBorders>
              <w:top w:val="nil"/>
              <w:left w:val="nil"/>
              <w:bottom w:val="single" w:color="auto" w:sz="4" w:space="0"/>
              <w:right w:val="single" w:color="auto" w:sz="4" w:space="0"/>
            </w:tcBorders>
            <w:noWrap w:val="0"/>
            <w:vAlign w:val="center"/>
          </w:tcPr>
          <w:p>
            <w:pPr>
              <w:rPr>
                <w:sz w:val="20"/>
                <w:szCs w:val="20"/>
              </w:rPr>
            </w:pPr>
            <w:r>
              <w:rPr>
                <w:sz w:val="20"/>
                <w:szCs w:val="20"/>
              </w:rPr>
              <w:t>　</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15.</w:t>
      </w:r>
      <w:r>
        <w:rPr>
          <w:rFonts w:hint="eastAsia" w:ascii="仿宋_GB2312" w:hAnsi="楷体" w:eastAsia="仿宋_GB2312"/>
          <w:b/>
          <w:sz w:val="32"/>
          <w:szCs w:val="32"/>
        </w:rPr>
        <w:t>“城乡社区基础设施建设及维护”项目。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 w:eastAsia="仿宋_GB2312"/>
          <w:sz w:val="32"/>
          <w:szCs w:val="32"/>
        </w:rPr>
      </w:pPr>
      <w:r>
        <w:rPr>
          <w:rFonts w:hint="eastAsia" w:ascii="仿宋_GB2312" w:hAnsi="楷体" w:eastAsia="仿宋_GB2312"/>
          <w:sz w:val="32"/>
          <w:szCs w:val="32"/>
        </w:rPr>
        <w:t>（1）项目概述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楷体" w:eastAsia="仿宋_GB2312"/>
          <w:sz w:val="32"/>
          <w:szCs w:val="32"/>
        </w:rPr>
      </w:pPr>
      <w:r>
        <w:rPr>
          <w:rFonts w:hint="eastAsia" w:ascii="仿宋_GB2312" w:hAnsi="仿宋_GB2312" w:eastAsia="仿宋_GB2312" w:cs="仿宋_GB2312"/>
          <w:color w:val="000000"/>
          <w:sz w:val="32"/>
          <w:szCs w:val="32"/>
          <w:lang w:val="en-US" w:eastAsia="zh-CN"/>
        </w:rPr>
        <w:t>2024年社区建设项目主要针对三区所辖社区实施，计划对3—6个城乡社区（每个区各1—2个社区）进行维护改造。</w:t>
      </w:r>
    </w:p>
    <w:p>
      <w:pPr>
        <w:numPr>
          <w:ilvl w:val="0"/>
          <w:numId w:val="1"/>
        </w:num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立项依据</w:t>
      </w:r>
    </w:p>
    <w:p>
      <w:pPr>
        <w:numPr>
          <w:ilvl w:val="0"/>
          <w:numId w:val="0"/>
        </w:num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中共淮北市委 淮北市人民政府印发《关于加强和完善城乡社区治理的实施方案》</w:t>
      </w:r>
    </w:p>
    <w:p>
      <w:pPr>
        <w:numPr>
          <w:ilvl w:val="0"/>
          <w:numId w:val="1"/>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实施主体</w:t>
      </w:r>
    </w:p>
    <w:p>
      <w:pPr>
        <w:numPr>
          <w:ilvl w:val="0"/>
          <w:numId w:val="0"/>
        </w:numPr>
        <w:adjustRightInd w:val="0"/>
        <w:snapToGrid w:val="0"/>
        <w:spacing w:line="600" w:lineRule="exact"/>
        <w:ind w:leftChars="200" w:firstLine="320" w:firstLineChars="100"/>
        <w:rPr>
          <w:rFonts w:hint="eastAsia" w:ascii="仿宋_GB2312" w:hAnsi="楷体" w:eastAsia="仿宋_GB2312"/>
          <w:sz w:val="32"/>
          <w:szCs w:val="32"/>
        </w:rPr>
      </w:pPr>
      <w:r>
        <w:rPr>
          <w:rFonts w:hint="eastAsia" w:ascii="仿宋_GB2312" w:hAnsi="楷体" w:eastAsia="仿宋_GB2312"/>
          <w:sz w:val="32"/>
          <w:szCs w:val="32"/>
          <w:lang w:eastAsia="zh-CN"/>
        </w:rPr>
        <w:t>三区民政局</w:t>
      </w:r>
    </w:p>
    <w:p>
      <w:pPr>
        <w:numPr>
          <w:ilvl w:val="0"/>
          <w:numId w:val="1"/>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起止时间</w:t>
      </w:r>
    </w:p>
    <w:p>
      <w:pPr>
        <w:numPr>
          <w:ilvl w:val="0"/>
          <w:numId w:val="0"/>
        </w:numPr>
        <w:adjustRightInd w:val="0"/>
        <w:snapToGrid w:val="0"/>
        <w:spacing w:line="600" w:lineRule="exact"/>
        <w:ind w:leftChars="200"/>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w:t>
      </w:r>
      <w:r>
        <w:rPr>
          <w:rFonts w:hint="eastAsia" w:ascii="仿宋_GB2312" w:hAnsi="仿宋" w:eastAsia="仿宋_GB2312"/>
          <w:sz w:val="32"/>
          <w:szCs w:val="32"/>
          <w:lang w:val="en-US" w:eastAsia="zh-CN"/>
        </w:rPr>
        <w:t>2024年1月－2024年12月</w:t>
      </w:r>
    </w:p>
    <w:p>
      <w:pPr>
        <w:numPr>
          <w:ilvl w:val="0"/>
          <w:numId w:val="1"/>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项目内容</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仿宋_GB2312" w:eastAsia="仿宋_GB2312" w:cs="仿宋_GB2312"/>
          <w:color w:val="000000"/>
          <w:sz w:val="32"/>
          <w:szCs w:val="32"/>
          <w:lang w:val="en-US" w:eastAsia="zh-CN"/>
        </w:rPr>
        <w:t>社区建设项目主要针对三区实施，计划对3—6个城乡社区升级改造，</w:t>
      </w:r>
      <w:r>
        <w:rPr>
          <w:rFonts w:hint="eastAsia" w:ascii="仿宋_GB2312" w:hAnsi="仿宋_GB2312" w:eastAsia="仿宋_GB2312" w:cs="仿宋_GB2312"/>
          <w:color w:val="000000"/>
          <w:sz w:val="32"/>
          <w:szCs w:val="32"/>
        </w:rPr>
        <w:t>共计30万元。</w:t>
      </w:r>
    </w:p>
    <w:p>
      <w:pPr>
        <w:numPr>
          <w:ilvl w:val="0"/>
          <w:numId w:val="1"/>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年度预算安排</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 xml:space="preserve">  </w:t>
      </w:r>
      <w:r>
        <w:rPr>
          <w:rFonts w:hint="eastAsia" w:ascii="仿宋_GB2312" w:hAnsi="仿宋_GB2312" w:eastAsia="仿宋_GB2312" w:cs="仿宋_GB2312"/>
          <w:color w:val="000000"/>
          <w:sz w:val="32"/>
          <w:szCs w:val="32"/>
        </w:rPr>
        <w:t>共计30万元。</w:t>
      </w:r>
    </w:p>
    <w:p>
      <w:pPr>
        <w:numPr>
          <w:ilvl w:val="0"/>
          <w:numId w:val="1"/>
        </w:numPr>
        <w:adjustRightInd w:val="0"/>
        <w:snapToGrid w:val="0"/>
        <w:spacing w:line="600" w:lineRule="exact"/>
        <w:ind w:left="0" w:leftChars="0" w:firstLine="640" w:firstLineChars="200"/>
        <w:rPr>
          <w:rFonts w:hint="eastAsia" w:ascii="仿宋_GB2312" w:hAnsi="楷体" w:eastAsia="仿宋_GB2312"/>
          <w:sz w:val="32"/>
          <w:szCs w:val="32"/>
        </w:rPr>
      </w:pPr>
      <w:r>
        <w:rPr>
          <w:rFonts w:hint="eastAsia" w:ascii="仿宋_GB2312" w:hAnsi="楷体" w:eastAsia="仿宋_GB2312"/>
          <w:sz w:val="32"/>
          <w:szCs w:val="32"/>
        </w:rPr>
        <w:t>绩效目标</w:t>
      </w:r>
    </w:p>
    <w:p>
      <w:pPr>
        <w:numPr>
          <w:ilvl w:val="0"/>
          <w:numId w:val="0"/>
        </w:numPr>
        <w:adjustRightInd w:val="0"/>
        <w:snapToGrid w:val="0"/>
        <w:spacing w:line="600" w:lineRule="exact"/>
        <w:ind w:firstLine="640" w:firstLineChars="200"/>
        <w:rPr>
          <w:rFonts w:hint="eastAsia" w:ascii="仿宋_GB2312" w:hAnsi="楷体" w:eastAsia="仿宋_GB2312"/>
          <w:sz w:val="32"/>
          <w:szCs w:val="32"/>
          <w:lang w:val="en-US" w:eastAsia="zh-CN"/>
        </w:rPr>
      </w:pPr>
      <w:r>
        <w:rPr>
          <w:rFonts w:hint="eastAsia" w:ascii="仿宋_GB2312" w:eastAsia="仿宋_GB2312"/>
          <w:kern w:val="0"/>
          <w:sz w:val="32"/>
          <w:szCs w:val="32"/>
        </w:rPr>
        <w:t>此项工作的开展</w:t>
      </w:r>
      <w:r>
        <w:rPr>
          <w:rFonts w:hint="eastAsia" w:ascii="仿宋_GB2312" w:eastAsia="仿宋_GB2312"/>
          <w:kern w:val="0"/>
          <w:sz w:val="32"/>
          <w:szCs w:val="32"/>
          <w:lang w:eastAsia="zh-CN"/>
        </w:rPr>
        <w:t>的</w:t>
      </w:r>
      <w:r>
        <w:rPr>
          <w:rFonts w:hint="eastAsia" w:ascii="仿宋_GB2312" w:eastAsia="仿宋_GB2312"/>
          <w:kern w:val="0"/>
          <w:sz w:val="32"/>
          <w:szCs w:val="32"/>
        </w:rPr>
        <w:t>总体目标是解决社区群众的实际需要，提高社区基础建设、设施配置及服务群众的能力。</w:t>
      </w:r>
      <w:r>
        <w:rPr>
          <w:rFonts w:hint="eastAsia" w:ascii="仿宋_GB2312" w:eastAsia="仿宋_GB2312"/>
          <w:sz w:val="32"/>
          <w:szCs w:val="32"/>
        </w:rPr>
        <w:t>通过加强村（居）委会的组织建设、</w:t>
      </w:r>
      <w:r>
        <w:rPr>
          <w:rFonts w:hint="eastAsia" w:ascii="仿宋_GB2312" w:eastAsia="仿宋_GB2312"/>
          <w:sz w:val="32"/>
          <w:szCs w:val="32"/>
          <w:lang w:eastAsia="zh-CN"/>
        </w:rPr>
        <w:t>服务设施</w:t>
      </w:r>
      <w:r>
        <w:rPr>
          <w:rFonts w:hint="eastAsia" w:ascii="仿宋_GB2312" w:eastAsia="仿宋_GB2312"/>
          <w:sz w:val="32"/>
          <w:szCs w:val="32"/>
        </w:rPr>
        <w:t>建设，巩固党在城市和农村工作的组织基础和群众基础，维护社会稳定，促进经济社会发展</w:t>
      </w:r>
      <w:r>
        <w:rPr>
          <w:rFonts w:hint="eastAsia" w:ascii="仿宋_GB2312" w:eastAsia="仿宋_GB2312"/>
          <w:sz w:val="32"/>
          <w:szCs w:val="32"/>
          <w:lang w:eastAsia="zh-CN"/>
        </w:rPr>
        <w:t>，更好地服务城乡社区居民。</w:t>
      </w:r>
    </w:p>
    <w:tbl>
      <w:tblPr>
        <w:tblStyle w:val="10"/>
        <w:tblW w:w="0" w:type="auto"/>
        <w:tblInd w:w="93" w:type="dxa"/>
        <w:tblLayout w:type="fixed"/>
        <w:tblCellMar>
          <w:top w:w="0" w:type="dxa"/>
          <w:left w:w="108" w:type="dxa"/>
          <w:bottom w:w="0" w:type="dxa"/>
          <w:right w:w="108" w:type="dxa"/>
        </w:tblCellMar>
      </w:tblPr>
      <w:tblGrid>
        <w:gridCol w:w="416"/>
        <w:gridCol w:w="820"/>
        <w:gridCol w:w="940"/>
        <w:gridCol w:w="2000"/>
        <w:gridCol w:w="860"/>
        <w:gridCol w:w="791"/>
        <w:gridCol w:w="889"/>
        <w:gridCol w:w="913"/>
        <w:gridCol w:w="127"/>
        <w:gridCol w:w="623"/>
        <w:gridCol w:w="641"/>
      </w:tblGrid>
      <w:tr>
        <w:tblPrEx>
          <w:tblCellMar>
            <w:top w:w="0" w:type="dxa"/>
            <w:left w:w="108" w:type="dxa"/>
            <w:bottom w:w="0" w:type="dxa"/>
            <w:right w:w="108" w:type="dxa"/>
          </w:tblCellMar>
        </w:tblPrEx>
        <w:trPr>
          <w:trHeight w:val="360" w:hRule="atLeast"/>
        </w:trPr>
        <w:tc>
          <w:tcPr>
            <w:tcW w:w="9020" w:type="dxa"/>
            <w:gridSpan w:val="11"/>
            <w:tcBorders>
              <w:top w:val="nil"/>
              <w:left w:val="nil"/>
              <w:bottom w:val="nil"/>
              <w:right w:val="nil"/>
            </w:tcBorders>
            <w:noWrap w:val="0"/>
            <w:vAlign w:val="center"/>
          </w:tcPr>
          <w:p>
            <w:pPr>
              <w:rPr>
                <w:b/>
                <w:bCs/>
                <w:sz w:val="32"/>
                <w:szCs w:val="32"/>
              </w:rPr>
            </w:pPr>
          </w:p>
          <w:p>
            <w:pPr>
              <w:jc w:val="center"/>
              <w:rPr>
                <w:rFonts w:ascii="宋体" w:hAnsi="宋体" w:cs="宋体"/>
                <w:b/>
                <w:bCs/>
                <w:sz w:val="32"/>
                <w:szCs w:val="32"/>
              </w:rPr>
            </w:pPr>
            <w:r>
              <w:rPr>
                <w:rFonts w:hint="eastAsia"/>
                <w:b/>
                <w:bCs/>
                <w:sz w:val="32"/>
                <w:szCs w:val="32"/>
              </w:rPr>
              <w:t>项目支出绩效目标表</w:t>
            </w:r>
          </w:p>
        </w:tc>
      </w:tr>
      <w:tr>
        <w:tblPrEx>
          <w:tblCellMar>
            <w:top w:w="0" w:type="dxa"/>
            <w:left w:w="108" w:type="dxa"/>
            <w:bottom w:w="0" w:type="dxa"/>
            <w:right w:w="108" w:type="dxa"/>
          </w:tblCellMar>
        </w:tblPrEx>
        <w:trPr>
          <w:trHeight w:val="270" w:hRule="atLeast"/>
        </w:trPr>
        <w:tc>
          <w:tcPr>
            <w:tcW w:w="9020" w:type="dxa"/>
            <w:gridSpan w:val="11"/>
            <w:tcBorders>
              <w:top w:val="nil"/>
              <w:left w:val="nil"/>
              <w:bottom w:val="nil"/>
              <w:right w:val="nil"/>
            </w:tcBorders>
            <w:noWrap w:val="0"/>
            <w:vAlign w:val="center"/>
          </w:tcPr>
          <w:p>
            <w:pPr>
              <w:jc w:val="center"/>
              <w:rPr>
                <w:rFonts w:ascii="宋体" w:hAnsi="宋体" w:cs="宋体"/>
                <w:sz w:val="20"/>
                <w:szCs w:val="20"/>
              </w:rPr>
            </w:pPr>
            <w:r>
              <w:rPr>
                <w:rFonts w:hint="eastAsia"/>
                <w:sz w:val="20"/>
                <w:szCs w:val="20"/>
              </w:rPr>
              <w:t>（20</w:t>
            </w:r>
            <w:r>
              <w:rPr>
                <w:rFonts w:hint="eastAsia"/>
                <w:sz w:val="20"/>
                <w:szCs w:val="20"/>
                <w:lang w:val="en-US" w:eastAsia="zh-CN"/>
              </w:rPr>
              <w:t>24</w:t>
            </w:r>
            <w:r>
              <w:rPr>
                <w:rFonts w:hint="eastAsia"/>
                <w:sz w:val="20"/>
                <w:szCs w:val="20"/>
              </w:rPr>
              <w:t xml:space="preserve"> 年度）</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项目名称</w:t>
            </w:r>
          </w:p>
        </w:tc>
        <w:tc>
          <w:tcPr>
            <w:tcW w:w="7784" w:type="dxa"/>
            <w:gridSpan w:val="9"/>
            <w:tcBorders>
              <w:top w:val="single" w:color="auto" w:sz="4" w:space="0"/>
              <w:left w:val="nil"/>
              <w:bottom w:val="single" w:color="auto" w:sz="4" w:space="0"/>
              <w:right w:val="single" w:color="000000" w:sz="4" w:space="0"/>
            </w:tcBorders>
            <w:noWrap w:val="0"/>
            <w:vAlign w:val="center"/>
          </w:tcPr>
          <w:p>
            <w:pPr>
              <w:jc w:val="center"/>
              <w:rPr>
                <w:rFonts w:ascii="宋体" w:hAnsi="宋体" w:cs="宋体"/>
                <w:color w:val="000000"/>
                <w:sz w:val="20"/>
                <w:szCs w:val="20"/>
              </w:rPr>
            </w:pPr>
            <w:r>
              <w:rPr>
                <w:rFonts w:hint="eastAsia"/>
                <w:color w:val="000000"/>
                <w:sz w:val="20"/>
                <w:szCs w:val="20"/>
                <w:lang w:eastAsia="zh-CN"/>
              </w:rPr>
              <w:t>城乡社区基础设施建设及维护　</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实施单位</w:t>
            </w:r>
          </w:p>
        </w:tc>
        <w:tc>
          <w:tcPr>
            <w:tcW w:w="7784" w:type="dxa"/>
            <w:gridSpan w:val="9"/>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lang w:eastAsia="zh-CN"/>
              </w:rPr>
              <w:t>淮北市民政局</w:t>
            </w:r>
          </w:p>
        </w:tc>
      </w:tr>
      <w:tr>
        <w:tblPrEx>
          <w:tblCellMar>
            <w:top w:w="0" w:type="dxa"/>
            <w:left w:w="108" w:type="dxa"/>
            <w:bottom w:w="0" w:type="dxa"/>
            <w:right w:w="108" w:type="dxa"/>
          </w:tblCellMar>
        </w:tblPrEx>
        <w:trPr>
          <w:trHeight w:val="330" w:hRule="atLeast"/>
        </w:trPr>
        <w:tc>
          <w:tcPr>
            <w:tcW w:w="123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项目属性</w:t>
            </w:r>
          </w:p>
        </w:tc>
        <w:tc>
          <w:tcPr>
            <w:tcW w:w="7784" w:type="dxa"/>
            <w:gridSpan w:val="9"/>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0"/>
                <w:szCs w:val="20"/>
              </w:rPr>
            </w:pPr>
            <w:r>
              <w:rPr>
                <w:rFonts w:hint="eastAsia"/>
                <w:color w:val="000000"/>
                <w:sz w:val="20"/>
                <w:szCs w:val="20"/>
              </w:rPr>
              <w:t>　</w:t>
            </w:r>
          </w:p>
        </w:tc>
      </w:tr>
      <w:tr>
        <w:tblPrEx>
          <w:tblCellMar>
            <w:top w:w="0" w:type="dxa"/>
            <w:left w:w="108" w:type="dxa"/>
            <w:bottom w:w="0" w:type="dxa"/>
            <w:right w:w="108" w:type="dxa"/>
          </w:tblCellMar>
        </w:tblPrEx>
        <w:trPr>
          <w:trHeight w:val="330" w:hRule="atLeast"/>
        </w:trPr>
        <w:tc>
          <w:tcPr>
            <w:tcW w:w="2176"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r>
              <w:rPr>
                <w:rFonts w:hint="eastAsia"/>
                <w:sz w:val="20"/>
                <w:szCs w:val="20"/>
              </w:rPr>
              <w:t>项目资金</w:t>
            </w:r>
            <w:r>
              <w:rPr>
                <w:rFonts w:hint="eastAsia"/>
                <w:sz w:val="20"/>
                <w:szCs w:val="20"/>
              </w:rPr>
              <w:br w:type="textWrapping"/>
            </w:r>
            <w:r>
              <w:rPr>
                <w:rFonts w:hint="eastAsia"/>
                <w:sz w:val="20"/>
                <w:szCs w:val="20"/>
              </w:rPr>
              <w:t>（万元）</w:t>
            </w: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中期资金总额：</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p>
        </w:tc>
        <w:tc>
          <w:tcPr>
            <w:tcW w:w="1929"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年度资金总额：</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65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sz w:val="20"/>
                <w:szCs w:val="20"/>
                <w:lang w:val="en-US" w:eastAsia="zh-CN"/>
              </w:rPr>
            </w:pPr>
          </w:p>
        </w:tc>
        <w:tc>
          <w:tcPr>
            <w:tcW w:w="1929"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其中：财政拨款</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30</w:t>
            </w:r>
          </w:p>
        </w:tc>
      </w:tr>
      <w:tr>
        <w:tblPrEx>
          <w:tblCellMar>
            <w:top w:w="0" w:type="dxa"/>
            <w:left w:w="108" w:type="dxa"/>
            <w:bottom w:w="0" w:type="dxa"/>
            <w:right w:w="108" w:type="dxa"/>
          </w:tblCellMar>
        </w:tblPrEx>
        <w:trPr>
          <w:trHeight w:val="330" w:hRule="atLeast"/>
        </w:trPr>
        <w:tc>
          <w:tcPr>
            <w:tcW w:w="2176"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rPr>
                <w:rFonts w:ascii="宋体" w:hAnsi="宋体" w:cs="宋体"/>
                <w:sz w:val="20"/>
                <w:szCs w:val="20"/>
              </w:rPr>
            </w:pPr>
          </w:p>
        </w:tc>
        <w:tc>
          <w:tcPr>
            <w:tcW w:w="2000"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651"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p>
        </w:tc>
        <w:tc>
          <w:tcPr>
            <w:tcW w:w="1929" w:type="dxa"/>
            <w:gridSpan w:val="3"/>
            <w:tcBorders>
              <w:top w:val="single" w:color="auto" w:sz="4" w:space="0"/>
              <w:left w:val="nil"/>
              <w:bottom w:val="single" w:color="auto" w:sz="4" w:space="0"/>
              <w:right w:val="single" w:color="auto" w:sz="4" w:space="0"/>
            </w:tcBorders>
            <w:noWrap w:val="0"/>
            <w:vAlign w:val="center"/>
          </w:tcPr>
          <w:p>
            <w:pPr>
              <w:rPr>
                <w:rFonts w:ascii="宋体" w:hAnsi="宋体" w:cs="宋体"/>
                <w:sz w:val="20"/>
                <w:szCs w:val="20"/>
              </w:rPr>
            </w:pPr>
            <w:r>
              <w:rPr>
                <w:rFonts w:hint="eastAsia"/>
                <w:sz w:val="20"/>
                <w:szCs w:val="20"/>
              </w:rPr>
              <w:t xml:space="preserve">         其他资金</w:t>
            </w:r>
          </w:p>
        </w:tc>
        <w:tc>
          <w:tcPr>
            <w:tcW w:w="1264" w:type="dxa"/>
            <w:gridSpan w:val="2"/>
            <w:tcBorders>
              <w:top w:val="single" w:color="auto" w:sz="4" w:space="0"/>
              <w:left w:val="nil"/>
              <w:bottom w:val="single" w:color="auto" w:sz="4" w:space="0"/>
              <w:right w:val="single" w:color="000000" w:sz="4" w:space="0"/>
            </w:tcBorders>
            <w:noWrap w:val="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30" w:hRule="atLeast"/>
        </w:trPr>
        <w:tc>
          <w:tcPr>
            <w:tcW w:w="416"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总</w:t>
            </w:r>
            <w:r>
              <w:rPr>
                <w:rFonts w:hint="eastAsia"/>
                <w:sz w:val="20"/>
                <w:szCs w:val="20"/>
              </w:rPr>
              <w:br w:type="textWrapping"/>
            </w:r>
            <w:r>
              <w:rPr>
                <w:rFonts w:hint="eastAsia"/>
                <w:sz w:val="20"/>
                <w:szCs w:val="20"/>
              </w:rPr>
              <w:t>体</w:t>
            </w:r>
            <w:r>
              <w:rPr>
                <w:rFonts w:hint="eastAsia"/>
                <w:sz w:val="20"/>
                <w:szCs w:val="20"/>
              </w:rPr>
              <w:br w:type="textWrapping"/>
            </w:r>
            <w:r>
              <w:rPr>
                <w:rFonts w:hint="eastAsia"/>
                <w:sz w:val="20"/>
                <w:szCs w:val="20"/>
              </w:rPr>
              <w:t>目</w:t>
            </w:r>
            <w:r>
              <w:rPr>
                <w:rFonts w:hint="eastAsia"/>
                <w:sz w:val="20"/>
                <w:szCs w:val="20"/>
              </w:rPr>
              <w:br w:type="textWrapping"/>
            </w:r>
            <w:r>
              <w:rPr>
                <w:rFonts w:hint="eastAsia"/>
                <w:sz w:val="20"/>
                <w:szCs w:val="20"/>
              </w:rPr>
              <w:t>标</w:t>
            </w:r>
          </w:p>
        </w:tc>
        <w:tc>
          <w:tcPr>
            <w:tcW w:w="5411" w:type="dxa"/>
            <w:gridSpan w:val="5"/>
            <w:tcBorders>
              <w:top w:val="single" w:color="auto" w:sz="4" w:space="0"/>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中期目标（20</w:t>
            </w:r>
            <w:r>
              <w:rPr>
                <w:rFonts w:hint="eastAsia"/>
                <w:sz w:val="20"/>
                <w:szCs w:val="20"/>
                <w:lang w:val="en-US" w:eastAsia="zh-CN"/>
              </w:rPr>
              <w:t>2x</w:t>
            </w:r>
            <w:r>
              <w:rPr>
                <w:rFonts w:hint="eastAsia"/>
                <w:sz w:val="20"/>
                <w:szCs w:val="20"/>
              </w:rPr>
              <w:t>年—20</w:t>
            </w:r>
            <w:r>
              <w:rPr>
                <w:rFonts w:hint="eastAsia"/>
                <w:sz w:val="20"/>
                <w:szCs w:val="20"/>
                <w:lang w:val="en-US" w:eastAsia="zh-CN"/>
              </w:rPr>
              <w:t>2x</w:t>
            </w:r>
            <w:r>
              <w:rPr>
                <w:rFonts w:hint="eastAsia"/>
                <w:sz w:val="20"/>
                <w:szCs w:val="20"/>
              </w:rPr>
              <w:t>年）</w:t>
            </w:r>
          </w:p>
        </w:tc>
        <w:tc>
          <w:tcPr>
            <w:tcW w:w="3193" w:type="dxa"/>
            <w:gridSpan w:val="5"/>
            <w:tcBorders>
              <w:top w:val="single" w:color="auto" w:sz="4" w:space="0"/>
              <w:left w:val="single" w:color="auto" w:sz="4" w:space="0"/>
              <w:bottom w:val="single" w:color="auto" w:sz="4" w:space="0"/>
              <w:right w:val="single" w:color="000000" w:sz="4" w:space="0"/>
            </w:tcBorders>
            <w:noWrap w:val="0"/>
            <w:vAlign w:val="center"/>
          </w:tcPr>
          <w:p>
            <w:pPr>
              <w:jc w:val="center"/>
              <w:rPr>
                <w:rFonts w:ascii="宋体" w:hAnsi="宋体" w:cs="宋体"/>
                <w:sz w:val="20"/>
                <w:szCs w:val="20"/>
              </w:rPr>
            </w:pPr>
            <w:r>
              <w:rPr>
                <w:rFonts w:hint="eastAsia"/>
                <w:sz w:val="20"/>
                <w:szCs w:val="20"/>
              </w:rPr>
              <w:t>年度目标</w:t>
            </w:r>
          </w:p>
        </w:tc>
      </w:tr>
      <w:tr>
        <w:tblPrEx>
          <w:tblCellMar>
            <w:top w:w="0" w:type="dxa"/>
            <w:left w:w="108" w:type="dxa"/>
            <w:bottom w:w="0" w:type="dxa"/>
            <w:right w:w="108" w:type="dxa"/>
          </w:tblCellMar>
        </w:tblPrEx>
        <w:trPr>
          <w:trHeight w:val="660" w:hRule="atLeast"/>
        </w:trPr>
        <w:tc>
          <w:tcPr>
            <w:tcW w:w="416"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5411" w:type="dxa"/>
            <w:gridSpan w:val="5"/>
            <w:tcBorders>
              <w:top w:val="single" w:color="auto" w:sz="4" w:space="0"/>
              <w:left w:val="nil"/>
              <w:bottom w:val="single" w:color="auto" w:sz="4" w:space="0"/>
              <w:right w:val="nil"/>
            </w:tcBorders>
            <w:noWrap w:val="0"/>
            <w:vAlign w:val="top"/>
          </w:tcPr>
          <w:p>
            <w:pPr>
              <w:rPr>
                <w:rFonts w:ascii="宋体" w:hAnsi="宋体" w:cs="宋体"/>
                <w:sz w:val="20"/>
                <w:szCs w:val="20"/>
              </w:rPr>
            </w:pPr>
            <w:r>
              <w:rPr>
                <w:rFonts w:hint="eastAsia"/>
                <w:sz w:val="20"/>
                <w:szCs w:val="20"/>
              </w:rPr>
              <w:t xml:space="preserve"> 目标1</w:t>
            </w:r>
            <w:r>
              <w:rPr>
                <w:rFonts w:hint="eastAsia"/>
                <w:sz w:val="20"/>
                <w:szCs w:val="20"/>
                <w:lang w:eastAsia="zh-CN"/>
              </w:rPr>
              <w:t>：</w:t>
            </w:r>
            <w:r>
              <w:rPr>
                <w:rFonts w:hint="eastAsia" w:ascii="宋体" w:hAnsi="宋体" w:eastAsia="宋体" w:cs="宋体"/>
                <w:i w:val="0"/>
                <w:color w:val="000000"/>
                <w:spacing w:val="0"/>
                <w:sz w:val="18"/>
                <w:szCs w:val="18"/>
                <w:vertAlign w:val="baseline"/>
              </w:rPr>
              <w:t>提升社区为民服务品质，增强社区为民服务水平</w:t>
            </w:r>
          </w:p>
        </w:tc>
        <w:tc>
          <w:tcPr>
            <w:tcW w:w="3193" w:type="dxa"/>
            <w:gridSpan w:val="5"/>
            <w:tcBorders>
              <w:top w:val="single" w:color="auto" w:sz="4" w:space="0"/>
              <w:left w:val="single" w:color="auto" w:sz="4" w:space="0"/>
              <w:bottom w:val="single" w:color="auto" w:sz="4" w:space="0"/>
              <w:right w:val="single" w:color="000000" w:sz="4" w:space="0"/>
            </w:tcBorders>
            <w:noWrap w:val="0"/>
            <w:vAlign w:val="top"/>
          </w:tcPr>
          <w:p>
            <w:pPr>
              <w:pStyle w:val="8"/>
              <w:keepNext w:val="0"/>
              <w:keepLines w:val="0"/>
              <w:widowControl/>
              <w:suppressLineNumbers w:val="0"/>
              <w:spacing w:before="0" w:beforeAutospacing="0" w:after="0" w:afterAutospacing="0" w:line="240" w:lineRule="atLeast"/>
              <w:ind w:left="0" w:right="0"/>
              <w:jc w:val="both"/>
              <w:rPr>
                <w:rFonts w:hint="eastAsia" w:eastAsia="宋体"/>
                <w:sz w:val="20"/>
                <w:szCs w:val="20"/>
                <w:lang w:eastAsia="zh-CN"/>
              </w:rPr>
            </w:pPr>
            <w:r>
              <w:rPr>
                <w:rFonts w:hint="eastAsia"/>
                <w:sz w:val="20"/>
                <w:szCs w:val="20"/>
              </w:rPr>
              <w:t xml:space="preserve"> 目标1：</w:t>
            </w:r>
            <w:r>
              <w:rPr>
                <w:rFonts w:hint="eastAsia" w:ascii="宋体" w:hAnsi="宋体" w:eastAsia="宋体" w:cs="宋体"/>
                <w:i w:val="0"/>
                <w:color w:val="000000"/>
                <w:spacing w:val="0"/>
                <w:sz w:val="18"/>
                <w:szCs w:val="18"/>
                <w:vertAlign w:val="baseline"/>
              </w:rPr>
              <w:t>提升社区为民服务品质，增强社区为民服务水平</w:t>
            </w:r>
          </w:p>
          <w:p>
            <w:pPr>
              <w:rPr>
                <w:rFonts w:ascii="宋体" w:hAnsi="宋体" w:cs="宋体"/>
                <w:sz w:val="20"/>
                <w:szCs w:val="20"/>
              </w:rPr>
            </w:pPr>
          </w:p>
        </w:tc>
      </w:tr>
      <w:tr>
        <w:tblPrEx>
          <w:tblCellMar>
            <w:top w:w="0" w:type="dxa"/>
            <w:left w:w="108" w:type="dxa"/>
            <w:bottom w:w="0" w:type="dxa"/>
            <w:right w:w="108" w:type="dxa"/>
          </w:tblCellMar>
        </w:tblPrEx>
        <w:trPr>
          <w:trHeight w:val="830" w:hRule="atLeast"/>
        </w:trPr>
        <w:tc>
          <w:tcPr>
            <w:tcW w:w="416" w:type="dxa"/>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绩</w:t>
            </w:r>
            <w:r>
              <w:rPr>
                <w:rFonts w:hint="eastAsia"/>
                <w:sz w:val="20"/>
                <w:szCs w:val="20"/>
              </w:rPr>
              <w:br w:type="textWrapping"/>
            </w:r>
            <w:r>
              <w:rPr>
                <w:rFonts w:hint="eastAsia"/>
                <w:sz w:val="20"/>
                <w:szCs w:val="20"/>
              </w:rPr>
              <w:t>效</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820" w:type="dxa"/>
            <w:tcBorders>
              <w:top w:val="nil"/>
              <w:left w:val="nil"/>
              <w:bottom w:val="nil"/>
              <w:right w:val="single" w:color="auto" w:sz="4" w:space="0"/>
            </w:tcBorders>
            <w:noWrap w:val="0"/>
            <w:vAlign w:val="center"/>
          </w:tcPr>
          <w:p>
            <w:pPr>
              <w:jc w:val="center"/>
              <w:rPr>
                <w:rFonts w:ascii="宋体" w:hAnsi="宋体" w:cs="宋体"/>
                <w:sz w:val="20"/>
                <w:szCs w:val="20"/>
              </w:rPr>
            </w:pPr>
            <w:r>
              <w:rPr>
                <w:rFonts w:hint="eastAsia"/>
                <w:sz w:val="20"/>
                <w:szCs w:val="20"/>
              </w:rPr>
              <w:t>一级</w:t>
            </w:r>
            <w:r>
              <w:rPr>
                <w:rFonts w:hint="eastAsia"/>
                <w:sz w:val="20"/>
                <w:szCs w:val="20"/>
              </w:rPr>
              <w:br w:type="textWrapping"/>
            </w:r>
            <w:r>
              <w:rPr>
                <w:rFonts w:hint="eastAsia"/>
                <w:sz w:val="20"/>
                <w:szCs w:val="20"/>
              </w:rPr>
              <w:t>指标</w:t>
            </w:r>
          </w:p>
        </w:tc>
        <w:tc>
          <w:tcPr>
            <w:tcW w:w="940"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三级指标</w:t>
            </w:r>
          </w:p>
        </w:tc>
        <w:tc>
          <w:tcPr>
            <w:tcW w:w="860"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79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c>
          <w:tcPr>
            <w:tcW w:w="889" w:type="dxa"/>
            <w:tcBorders>
              <w:top w:val="nil"/>
              <w:left w:val="nil"/>
              <w:bottom w:val="single" w:color="auto" w:sz="4" w:space="0"/>
              <w:right w:val="single" w:color="auto" w:sz="4" w:space="0"/>
            </w:tcBorders>
            <w:noWrap w:val="0"/>
            <w:vAlign w:val="center"/>
          </w:tcPr>
          <w:p>
            <w:pPr>
              <w:jc w:val="center"/>
              <w:rPr>
                <w:sz w:val="20"/>
                <w:szCs w:val="20"/>
              </w:rPr>
            </w:pPr>
            <w:r>
              <w:rPr>
                <w:rFonts w:hint="eastAsia"/>
                <w:sz w:val="20"/>
                <w:szCs w:val="20"/>
              </w:rPr>
              <w:t>二级</w:t>
            </w:r>
          </w:p>
          <w:p>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nil"/>
            </w:tcBorders>
            <w:noWrap w:val="0"/>
            <w:vAlign w:val="center"/>
          </w:tcPr>
          <w:p>
            <w:pPr>
              <w:jc w:val="center"/>
              <w:rPr>
                <w:rFonts w:ascii="宋体" w:hAnsi="宋体" w:cs="宋体"/>
                <w:sz w:val="20"/>
                <w:szCs w:val="20"/>
              </w:rPr>
            </w:pPr>
            <w:r>
              <w:rPr>
                <w:rFonts w:hint="eastAsia"/>
                <w:sz w:val="20"/>
                <w:szCs w:val="20"/>
              </w:rPr>
              <w:t>三级指标</w:t>
            </w:r>
          </w:p>
        </w:tc>
        <w:tc>
          <w:tcPr>
            <w:tcW w:w="750" w:type="dxa"/>
            <w:gridSpan w:val="2"/>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指标值</w:t>
            </w:r>
          </w:p>
        </w:tc>
        <w:tc>
          <w:tcPr>
            <w:tcW w:w="641" w:type="dxa"/>
            <w:tcBorders>
              <w:top w:val="nil"/>
              <w:left w:val="nil"/>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绩效标准</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产</w:t>
            </w:r>
            <w:r>
              <w:rPr>
                <w:rFonts w:hint="eastAsia"/>
                <w:sz w:val="20"/>
                <w:szCs w:val="20"/>
              </w:rPr>
              <w:br w:type="textWrapping"/>
            </w:r>
            <w:r>
              <w:rPr>
                <w:rFonts w:hint="eastAsia"/>
                <w:sz w:val="20"/>
                <w:szCs w:val="20"/>
              </w:rPr>
              <w:t>出</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对三区申报的城乡3－6个城乡社区基础设施进行维护改造</w:t>
            </w:r>
          </w:p>
        </w:tc>
        <w:tc>
          <w:tcPr>
            <w:tcW w:w="86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对三区申报的城乡3－6个城乡社区基础设施进行维护改造</w:t>
            </w:r>
          </w:p>
        </w:tc>
        <w:tc>
          <w:tcPr>
            <w:tcW w:w="791" w:type="dxa"/>
            <w:tcBorders>
              <w:top w:val="nil"/>
              <w:left w:val="nil"/>
              <w:bottom w:val="single" w:color="auto" w:sz="4" w:space="0"/>
              <w:right w:val="single" w:color="auto" w:sz="4" w:space="0"/>
            </w:tcBorders>
            <w:noWrap w:val="0"/>
            <w:vAlign w:val="center"/>
          </w:tcPr>
          <w:p>
            <w:pPr>
              <w:rPr>
                <w:rFonts w:hint="eastAsia" w:ascii="宋体" w:hAnsi="宋体" w:cs="宋体" w:eastAsiaTheme="minorEastAsia"/>
                <w:kern w:val="2"/>
                <w:sz w:val="20"/>
                <w:szCs w:val="20"/>
                <w:lang w:val="en-US" w:eastAsia="zh-CN" w:bidi="ar-SA"/>
              </w:rPr>
            </w:pPr>
            <w:r>
              <w:rPr>
                <w:rFonts w:hint="eastAsia" w:ascii="宋体" w:hAnsi="宋体" w:cs="宋体"/>
                <w:sz w:val="20"/>
                <w:szCs w:val="20"/>
              </w:rPr>
              <w:t>完成三区申报的城乡社区基础设施维护改造</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数量</w:t>
            </w:r>
          </w:p>
          <w:p>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对三区申报的城乡3－6个城乡社区基础设施进行维护改造</w:t>
            </w:r>
          </w:p>
        </w:tc>
        <w:tc>
          <w:tcPr>
            <w:tcW w:w="75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对三区申报的城乡3－6个城乡社区基础设施进行维护改造</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完成三区申报的城乡社区基础设施维护改造</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符合《关于加强和完善城乡社区治理的实施意见》等文件要求。</w:t>
            </w:r>
          </w:p>
        </w:tc>
        <w:tc>
          <w:tcPr>
            <w:tcW w:w="860" w:type="dxa"/>
            <w:tcBorders>
              <w:top w:val="nil"/>
              <w:left w:val="nil"/>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sz w:val="20"/>
                <w:szCs w:val="20"/>
                <w:lang w:val="en-US" w:eastAsia="zh-CN"/>
              </w:rPr>
              <w:t>通过维修改造更好地服务城乡社区群众</w:t>
            </w:r>
          </w:p>
        </w:tc>
        <w:tc>
          <w:tcPr>
            <w:tcW w:w="79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满足服务社区居民需要</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质量</w:t>
            </w:r>
          </w:p>
          <w:p>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符合《关于加强和完善城乡社区治理的实施意见》等文件要求。</w:t>
            </w:r>
          </w:p>
        </w:tc>
        <w:tc>
          <w:tcPr>
            <w:tcW w:w="750"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val="en-US" w:eastAsia="zh-CN"/>
              </w:rPr>
            </w:pPr>
            <w:r>
              <w:rPr>
                <w:rFonts w:hint="eastAsia" w:ascii="宋体" w:hAnsi="宋体" w:cs="宋体"/>
                <w:sz w:val="20"/>
                <w:szCs w:val="20"/>
                <w:lang w:val="en-US" w:eastAsia="zh-CN"/>
              </w:rPr>
              <w:t>通过维修改造更好地服务城乡社区群众</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满足服务社区居民需要</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2024年底前完成</w:t>
            </w:r>
          </w:p>
        </w:tc>
        <w:tc>
          <w:tcPr>
            <w:tcW w:w="860" w:type="dxa"/>
            <w:tcBorders>
              <w:top w:val="nil"/>
              <w:left w:val="nil"/>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eastAsia="宋体" w:cs="宋体"/>
                <w:sz w:val="20"/>
                <w:szCs w:val="20"/>
                <w:lang w:eastAsia="zh-CN"/>
              </w:rPr>
              <w:t>序时推进</w:t>
            </w:r>
          </w:p>
        </w:tc>
        <w:tc>
          <w:tcPr>
            <w:tcW w:w="79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年内完成</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时效</w:t>
            </w:r>
          </w:p>
          <w:p>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2024年底前完成</w:t>
            </w:r>
          </w:p>
        </w:tc>
        <w:tc>
          <w:tcPr>
            <w:tcW w:w="750" w:type="dxa"/>
            <w:gridSpan w:val="2"/>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eastAsia="宋体" w:cs="宋体"/>
                <w:sz w:val="20"/>
                <w:szCs w:val="20"/>
                <w:lang w:eastAsia="zh-CN"/>
              </w:rPr>
              <w:t>序时推进</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年内完成</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hint="default" w:ascii="宋体" w:hAnsi="宋体" w:eastAsia="宋体" w:cs="宋体"/>
                <w:kern w:val="2"/>
                <w:sz w:val="20"/>
                <w:szCs w:val="20"/>
                <w:lang w:val="en-US" w:eastAsia="zh-CN" w:bidi="ar-SA"/>
              </w:rPr>
            </w:pPr>
            <w:r>
              <w:rPr>
                <w:rFonts w:hint="eastAsia" w:ascii="宋体" w:hAnsi="宋体" w:cs="宋体"/>
                <w:sz w:val="20"/>
                <w:szCs w:val="20"/>
                <w:lang w:val="en-US" w:eastAsia="zh-CN"/>
              </w:rPr>
              <w:t>30万元</w:t>
            </w:r>
          </w:p>
        </w:tc>
        <w:tc>
          <w:tcPr>
            <w:tcW w:w="86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30万元</w:t>
            </w:r>
          </w:p>
        </w:tc>
        <w:tc>
          <w:tcPr>
            <w:tcW w:w="79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lang w:val="en-US" w:eastAsia="zh-CN"/>
              </w:rPr>
              <w:t>30万元</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成本</w:t>
            </w:r>
          </w:p>
          <w:p>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pPr>
              <w:rPr>
                <w:rFonts w:hint="default" w:ascii="宋体" w:hAnsi="宋体" w:eastAsia="宋体" w:cs="宋体"/>
                <w:sz w:val="20"/>
                <w:szCs w:val="20"/>
                <w:lang w:val="en-US" w:eastAsia="zh-CN"/>
              </w:rPr>
            </w:pPr>
            <w:r>
              <w:rPr>
                <w:rFonts w:hint="eastAsia" w:ascii="宋体" w:hAnsi="宋体" w:cs="宋体"/>
                <w:sz w:val="20"/>
                <w:szCs w:val="20"/>
                <w:lang w:val="en-US" w:eastAsia="zh-CN"/>
              </w:rPr>
              <w:t>30万元</w:t>
            </w:r>
          </w:p>
        </w:tc>
        <w:tc>
          <w:tcPr>
            <w:tcW w:w="75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30万元</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lang w:val="en-US" w:eastAsia="zh-CN"/>
              </w:rPr>
              <w:t>30万元</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r>
              <w:rPr>
                <w:rFonts w:hint="eastAsia"/>
                <w:sz w:val="20"/>
                <w:szCs w:val="20"/>
              </w:rPr>
              <w:t>效</w:t>
            </w:r>
            <w:r>
              <w:rPr>
                <w:rFonts w:hint="eastAsia"/>
                <w:sz w:val="20"/>
                <w:szCs w:val="20"/>
              </w:rPr>
              <w:br w:type="textWrapping"/>
            </w:r>
            <w:r>
              <w:rPr>
                <w:rFonts w:hint="eastAsia"/>
                <w:sz w:val="20"/>
                <w:szCs w:val="20"/>
              </w:rPr>
              <w:t>益</w:t>
            </w:r>
            <w:r>
              <w:rPr>
                <w:rFonts w:hint="eastAsia"/>
                <w:sz w:val="20"/>
                <w:szCs w:val="20"/>
              </w:rPr>
              <w:br w:type="textWrapping"/>
            </w:r>
            <w:r>
              <w:rPr>
                <w:rFonts w:hint="eastAsia"/>
                <w:sz w:val="20"/>
                <w:szCs w:val="20"/>
              </w:rPr>
              <w:t>指</w:t>
            </w:r>
            <w:r>
              <w:rPr>
                <w:rFonts w:hint="eastAsia"/>
                <w:sz w:val="20"/>
                <w:szCs w:val="20"/>
              </w:rPr>
              <w:br w:type="textWrapping"/>
            </w:r>
            <w:r>
              <w:rPr>
                <w:rFonts w:hint="eastAsia"/>
                <w:sz w:val="20"/>
                <w:szCs w:val="20"/>
              </w:rPr>
              <w:t>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经济效益指标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86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79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经济效</w:t>
            </w:r>
          </w:p>
          <w:p>
            <w:pPr>
              <w:jc w:val="center"/>
              <w:rPr>
                <w:rFonts w:ascii="宋体" w:hAnsi="宋体" w:cs="宋体"/>
                <w:sz w:val="20"/>
                <w:szCs w:val="20"/>
              </w:rPr>
            </w:pPr>
            <w:r>
              <w:rPr>
                <w:rFonts w:hint="eastAsia"/>
                <w:sz w:val="20"/>
                <w:szCs w:val="20"/>
              </w:rPr>
              <w:t>益指标</w:t>
            </w:r>
          </w:p>
        </w:tc>
        <w:tc>
          <w:tcPr>
            <w:tcW w:w="913"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75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社会效益指标</w:t>
            </w:r>
          </w:p>
        </w:tc>
        <w:tc>
          <w:tcPr>
            <w:tcW w:w="2000" w:type="dxa"/>
            <w:tcBorders>
              <w:top w:val="nil"/>
              <w:left w:val="nil"/>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sz w:val="20"/>
                <w:szCs w:val="20"/>
              </w:rPr>
              <w:t>服务社区居民能力</w:t>
            </w:r>
            <w:r>
              <w:rPr>
                <w:rFonts w:hint="eastAsia" w:ascii="宋体" w:hAnsi="宋体" w:cs="宋体"/>
                <w:sz w:val="20"/>
                <w:szCs w:val="20"/>
                <w:lang w:eastAsia="zh-CN"/>
              </w:rPr>
              <w:t>不断增强</w:t>
            </w:r>
          </w:p>
        </w:tc>
        <w:tc>
          <w:tcPr>
            <w:tcW w:w="86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增强服务社区居民能力</w:t>
            </w:r>
          </w:p>
        </w:tc>
        <w:tc>
          <w:tcPr>
            <w:tcW w:w="79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城乡社区服务品质得到提升</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社会效</w:t>
            </w:r>
          </w:p>
          <w:p>
            <w:pPr>
              <w:jc w:val="center"/>
              <w:rPr>
                <w:rFonts w:ascii="宋体" w:hAnsi="宋体" w:cs="宋体"/>
                <w:sz w:val="20"/>
                <w:szCs w:val="20"/>
              </w:rPr>
            </w:pPr>
            <w:r>
              <w:rPr>
                <w:rFonts w:hint="eastAsia"/>
                <w:sz w:val="20"/>
                <w:szCs w:val="20"/>
              </w:rPr>
              <w:t>益指标</w:t>
            </w:r>
          </w:p>
        </w:tc>
        <w:tc>
          <w:tcPr>
            <w:tcW w:w="91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rPr>
              <w:t>服务社区居民能力</w:t>
            </w:r>
            <w:r>
              <w:rPr>
                <w:rFonts w:hint="eastAsia" w:ascii="宋体" w:hAnsi="宋体" w:cs="宋体"/>
                <w:sz w:val="20"/>
                <w:szCs w:val="20"/>
                <w:lang w:eastAsia="zh-CN"/>
              </w:rPr>
              <w:t>不断增强</w:t>
            </w:r>
          </w:p>
        </w:tc>
        <w:tc>
          <w:tcPr>
            <w:tcW w:w="75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增强服务社区居民能力</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城乡社区服务品质得到提升</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2000" w:type="dxa"/>
            <w:tcBorders>
              <w:top w:val="nil"/>
              <w:left w:val="nil"/>
              <w:bottom w:val="single" w:color="auto" w:sz="4" w:space="0"/>
              <w:right w:val="single" w:color="auto" w:sz="4" w:space="0"/>
            </w:tcBorders>
            <w:noWrap w:val="0"/>
            <w:vAlign w:val="center"/>
          </w:tcPr>
          <w:p>
            <w:pPr>
              <w:rPr>
                <w:rFonts w:hint="eastAsia" w:ascii="宋体" w:hAnsi="宋体" w:eastAsia="宋体" w:cs="宋体"/>
                <w:kern w:val="2"/>
                <w:sz w:val="20"/>
                <w:szCs w:val="20"/>
                <w:lang w:val="en-US" w:eastAsia="zh-CN" w:bidi="ar-SA"/>
              </w:rPr>
            </w:pPr>
            <w:r>
              <w:rPr>
                <w:rFonts w:hint="eastAsia" w:ascii="宋体" w:hAnsi="宋体" w:cs="宋体"/>
                <w:sz w:val="20"/>
                <w:szCs w:val="20"/>
              </w:rPr>
              <w:t>环保意识、生态意识</w:t>
            </w:r>
            <w:r>
              <w:rPr>
                <w:rFonts w:hint="eastAsia" w:ascii="宋体" w:hAnsi="宋体" w:cs="宋体"/>
                <w:sz w:val="20"/>
                <w:szCs w:val="20"/>
                <w:lang w:eastAsia="zh-CN"/>
              </w:rPr>
              <w:t>不断提升</w:t>
            </w:r>
          </w:p>
        </w:tc>
        <w:tc>
          <w:tcPr>
            <w:tcW w:w="86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提升环保意识、生态意识</w:t>
            </w:r>
          </w:p>
        </w:tc>
        <w:tc>
          <w:tcPr>
            <w:tcW w:w="79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城乡社区节约意识、环保意识、生态意识不断增强</w:t>
            </w:r>
          </w:p>
        </w:tc>
        <w:tc>
          <w:tcPr>
            <w:tcW w:w="889"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生态效益指标</w:t>
            </w:r>
          </w:p>
        </w:tc>
        <w:tc>
          <w:tcPr>
            <w:tcW w:w="913" w:type="dxa"/>
            <w:tcBorders>
              <w:top w:val="nil"/>
              <w:left w:val="nil"/>
              <w:bottom w:val="single" w:color="auto" w:sz="4" w:space="0"/>
              <w:right w:val="single" w:color="auto" w:sz="4" w:space="0"/>
            </w:tcBorders>
            <w:noWrap w:val="0"/>
            <w:vAlign w:val="center"/>
          </w:tcPr>
          <w:p>
            <w:pPr>
              <w:rPr>
                <w:rFonts w:hint="eastAsia" w:ascii="宋体" w:hAnsi="宋体" w:eastAsia="宋体" w:cs="宋体"/>
                <w:sz w:val="20"/>
                <w:szCs w:val="20"/>
                <w:lang w:eastAsia="zh-CN"/>
              </w:rPr>
            </w:pPr>
            <w:r>
              <w:rPr>
                <w:rFonts w:hint="eastAsia" w:ascii="宋体" w:hAnsi="宋体" w:cs="宋体"/>
                <w:sz w:val="20"/>
                <w:szCs w:val="20"/>
              </w:rPr>
              <w:t>环保意识、生态意识</w:t>
            </w:r>
            <w:r>
              <w:rPr>
                <w:rFonts w:hint="eastAsia" w:ascii="宋体" w:hAnsi="宋体" w:cs="宋体"/>
                <w:sz w:val="20"/>
                <w:szCs w:val="20"/>
                <w:lang w:eastAsia="zh-CN"/>
              </w:rPr>
              <w:t>不断提升</w:t>
            </w:r>
          </w:p>
        </w:tc>
        <w:tc>
          <w:tcPr>
            <w:tcW w:w="75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提升环保意识、生态意识</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城乡社区节约意识、环保意识、生态意识不断增强</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sz w:val="20"/>
                <w:szCs w:val="20"/>
              </w:rPr>
            </w:pP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可持续影响</w:t>
            </w:r>
            <w:r>
              <w:rPr>
                <w:rFonts w:hint="eastAsia"/>
                <w:sz w:val="20"/>
                <w:szCs w:val="20"/>
              </w:rPr>
              <w:br w:type="textWrapping"/>
            </w:r>
            <w:r>
              <w:rPr>
                <w:rFonts w:hint="eastAsia"/>
                <w:sz w:val="20"/>
                <w:szCs w:val="20"/>
              </w:rPr>
              <w:t>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社区服务</w:t>
            </w:r>
            <w:r>
              <w:rPr>
                <w:rFonts w:hint="eastAsia" w:ascii="宋体" w:hAnsi="宋体" w:cs="宋体"/>
                <w:sz w:val="20"/>
                <w:szCs w:val="20"/>
                <w:lang w:eastAsia="zh-CN"/>
              </w:rPr>
              <w:t>体系逐步</w:t>
            </w:r>
            <w:r>
              <w:rPr>
                <w:rFonts w:hint="eastAsia" w:ascii="宋体" w:hAnsi="宋体" w:cs="宋体"/>
                <w:sz w:val="20"/>
                <w:szCs w:val="20"/>
              </w:rPr>
              <w:t>完善</w:t>
            </w:r>
          </w:p>
        </w:tc>
        <w:tc>
          <w:tcPr>
            <w:tcW w:w="86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社区服务设施效能不断增强</w:t>
            </w:r>
          </w:p>
        </w:tc>
        <w:tc>
          <w:tcPr>
            <w:tcW w:w="79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社区服务体系持续完善</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可持续</w:t>
            </w:r>
          </w:p>
          <w:p>
            <w:pPr>
              <w:jc w:val="center"/>
              <w:rPr>
                <w:sz w:val="20"/>
                <w:szCs w:val="20"/>
              </w:rPr>
            </w:pPr>
            <w:r>
              <w:rPr>
                <w:rFonts w:hint="eastAsia"/>
                <w:sz w:val="20"/>
                <w:szCs w:val="20"/>
              </w:rPr>
              <w:t>影响</w:t>
            </w:r>
          </w:p>
          <w:p>
            <w:pPr>
              <w:jc w:val="center"/>
              <w:rPr>
                <w:rFonts w:ascii="宋体" w:hAnsi="宋体" w:cs="宋体"/>
                <w:sz w:val="20"/>
                <w:szCs w:val="20"/>
              </w:rPr>
            </w:pPr>
            <w:r>
              <w:rPr>
                <w:rFonts w:hint="eastAsia"/>
                <w:sz w:val="20"/>
                <w:szCs w:val="20"/>
              </w:rPr>
              <w:t>指标</w:t>
            </w:r>
          </w:p>
        </w:tc>
        <w:tc>
          <w:tcPr>
            <w:tcW w:w="91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社区服务</w:t>
            </w:r>
            <w:r>
              <w:rPr>
                <w:rFonts w:hint="eastAsia" w:ascii="宋体" w:hAnsi="宋体" w:cs="宋体"/>
                <w:sz w:val="20"/>
                <w:szCs w:val="20"/>
                <w:lang w:eastAsia="zh-CN"/>
              </w:rPr>
              <w:t>体系逐步</w:t>
            </w:r>
            <w:r>
              <w:rPr>
                <w:rFonts w:hint="eastAsia" w:ascii="宋体" w:hAnsi="宋体" w:cs="宋体"/>
                <w:sz w:val="20"/>
                <w:szCs w:val="20"/>
              </w:rPr>
              <w:t>完善</w:t>
            </w:r>
          </w:p>
        </w:tc>
        <w:tc>
          <w:tcPr>
            <w:tcW w:w="75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社区服务设施效能不断增强</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社区服务体系持续完善</w:t>
            </w:r>
          </w:p>
        </w:tc>
      </w:tr>
      <w:tr>
        <w:tblPrEx>
          <w:tblCellMar>
            <w:top w:w="0" w:type="dxa"/>
            <w:left w:w="108" w:type="dxa"/>
            <w:bottom w:w="0" w:type="dxa"/>
            <w:right w:w="108" w:type="dxa"/>
          </w:tblCellMar>
        </w:tblPrEx>
        <w:trPr>
          <w:trHeight w:val="315" w:hRule="atLeast"/>
        </w:trPr>
        <w:tc>
          <w:tcPr>
            <w:tcW w:w="416"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cs="宋体"/>
                <w:sz w:val="20"/>
                <w:szCs w:val="20"/>
              </w:rPr>
            </w:pPr>
          </w:p>
        </w:tc>
        <w:tc>
          <w:tcPr>
            <w:tcW w:w="82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满意度指标</w:t>
            </w:r>
          </w:p>
        </w:tc>
        <w:tc>
          <w:tcPr>
            <w:tcW w:w="940" w:type="dxa"/>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r>
              <w:rPr>
                <w:rFonts w:hint="eastAsia"/>
                <w:sz w:val="20"/>
                <w:szCs w:val="20"/>
              </w:rPr>
              <w:t>服务对象满意度指标</w:t>
            </w:r>
          </w:p>
        </w:tc>
        <w:tc>
          <w:tcPr>
            <w:tcW w:w="200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不断提升群众满</w:t>
            </w:r>
            <w:r>
              <w:rPr>
                <w:rFonts w:hint="eastAsia" w:ascii="宋体" w:hAnsi="宋体" w:cs="宋体"/>
                <w:sz w:val="20"/>
                <w:szCs w:val="20"/>
                <w:lang w:eastAsia="zh-CN"/>
              </w:rPr>
              <w:t>意度</w:t>
            </w:r>
          </w:p>
        </w:tc>
        <w:tc>
          <w:tcPr>
            <w:tcW w:w="860"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群众满</w:t>
            </w:r>
            <w:r>
              <w:rPr>
                <w:rFonts w:hint="eastAsia" w:ascii="宋体" w:hAnsi="宋体" w:cs="宋体"/>
                <w:sz w:val="20"/>
                <w:szCs w:val="20"/>
                <w:lang w:eastAsia="zh-CN"/>
              </w:rPr>
              <w:t>意度</w:t>
            </w:r>
            <w:r>
              <w:rPr>
                <w:rFonts w:hint="eastAsia" w:ascii="宋体" w:hAnsi="宋体" w:cs="宋体"/>
                <w:sz w:val="20"/>
                <w:szCs w:val="20"/>
              </w:rPr>
              <w:t>不断提升</w:t>
            </w:r>
          </w:p>
        </w:tc>
        <w:tc>
          <w:tcPr>
            <w:tcW w:w="791" w:type="dxa"/>
            <w:tcBorders>
              <w:top w:val="nil"/>
              <w:left w:val="nil"/>
              <w:bottom w:val="single" w:color="auto" w:sz="4" w:space="0"/>
              <w:right w:val="single" w:color="auto" w:sz="4" w:space="0"/>
            </w:tcBorders>
            <w:noWrap w:val="0"/>
            <w:vAlign w:val="center"/>
          </w:tcPr>
          <w:p>
            <w:pPr>
              <w:rPr>
                <w:rFonts w:ascii="宋体" w:hAnsi="宋体" w:cs="宋体" w:eastAsiaTheme="minorEastAsia"/>
                <w:kern w:val="2"/>
                <w:sz w:val="20"/>
                <w:szCs w:val="20"/>
                <w:lang w:val="en-US" w:eastAsia="zh-CN" w:bidi="ar-SA"/>
              </w:rPr>
            </w:pPr>
            <w:r>
              <w:rPr>
                <w:rFonts w:hint="eastAsia" w:ascii="宋体" w:hAnsi="宋体" w:cs="宋体"/>
                <w:sz w:val="20"/>
                <w:szCs w:val="20"/>
              </w:rPr>
              <w:t>群众满意度≧85%</w:t>
            </w:r>
          </w:p>
        </w:tc>
        <w:tc>
          <w:tcPr>
            <w:tcW w:w="889" w:type="dxa"/>
            <w:tcBorders>
              <w:top w:val="nil"/>
              <w:left w:val="single" w:color="auto" w:sz="4" w:space="0"/>
              <w:bottom w:val="single" w:color="000000" w:sz="4" w:space="0"/>
              <w:right w:val="single" w:color="auto" w:sz="4" w:space="0"/>
            </w:tcBorders>
            <w:noWrap w:val="0"/>
            <w:vAlign w:val="center"/>
          </w:tcPr>
          <w:p>
            <w:pPr>
              <w:jc w:val="center"/>
              <w:rPr>
                <w:sz w:val="20"/>
                <w:szCs w:val="20"/>
              </w:rPr>
            </w:pPr>
            <w:r>
              <w:rPr>
                <w:rFonts w:hint="eastAsia"/>
                <w:sz w:val="20"/>
                <w:szCs w:val="20"/>
              </w:rPr>
              <w:t>服务对</w:t>
            </w:r>
          </w:p>
          <w:p>
            <w:pPr>
              <w:jc w:val="center"/>
              <w:rPr>
                <w:sz w:val="20"/>
                <w:szCs w:val="20"/>
              </w:rPr>
            </w:pPr>
            <w:r>
              <w:rPr>
                <w:rFonts w:hint="eastAsia"/>
                <w:sz w:val="20"/>
                <w:szCs w:val="20"/>
              </w:rPr>
              <w:t>象满意</w:t>
            </w:r>
          </w:p>
          <w:p>
            <w:pPr>
              <w:jc w:val="center"/>
              <w:rPr>
                <w:rFonts w:ascii="宋体" w:hAnsi="宋体" w:cs="宋体"/>
                <w:sz w:val="20"/>
                <w:szCs w:val="20"/>
              </w:rPr>
            </w:pPr>
            <w:r>
              <w:rPr>
                <w:rFonts w:hint="eastAsia"/>
                <w:sz w:val="20"/>
                <w:szCs w:val="20"/>
              </w:rPr>
              <w:t>度指标</w:t>
            </w:r>
          </w:p>
        </w:tc>
        <w:tc>
          <w:tcPr>
            <w:tcW w:w="913"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不断提升群众满</w:t>
            </w:r>
            <w:r>
              <w:rPr>
                <w:rFonts w:hint="eastAsia" w:ascii="宋体" w:hAnsi="宋体" w:cs="宋体"/>
                <w:sz w:val="20"/>
                <w:szCs w:val="20"/>
                <w:lang w:eastAsia="zh-CN"/>
              </w:rPr>
              <w:t>意度</w:t>
            </w:r>
          </w:p>
        </w:tc>
        <w:tc>
          <w:tcPr>
            <w:tcW w:w="750" w:type="dxa"/>
            <w:gridSpan w:val="2"/>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群众满</w:t>
            </w:r>
            <w:r>
              <w:rPr>
                <w:rFonts w:hint="eastAsia" w:ascii="宋体" w:hAnsi="宋体" w:cs="宋体"/>
                <w:sz w:val="20"/>
                <w:szCs w:val="20"/>
                <w:lang w:eastAsia="zh-CN"/>
              </w:rPr>
              <w:t>意度</w:t>
            </w:r>
            <w:r>
              <w:rPr>
                <w:rFonts w:hint="eastAsia" w:ascii="宋体" w:hAnsi="宋体" w:cs="宋体"/>
                <w:sz w:val="20"/>
                <w:szCs w:val="20"/>
              </w:rPr>
              <w:t>不断提升</w:t>
            </w:r>
          </w:p>
        </w:tc>
        <w:tc>
          <w:tcPr>
            <w:tcW w:w="641" w:type="dxa"/>
            <w:tcBorders>
              <w:top w:val="nil"/>
              <w:left w:val="nil"/>
              <w:bottom w:val="single" w:color="auto" w:sz="4" w:space="0"/>
              <w:right w:val="single" w:color="auto" w:sz="4" w:space="0"/>
            </w:tcBorders>
            <w:noWrap w:val="0"/>
            <w:vAlign w:val="center"/>
          </w:tcPr>
          <w:p>
            <w:pPr>
              <w:rPr>
                <w:rFonts w:ascii="宋体" w:hAnsi="宋体" w:cs="宋体"/>
                <w:sz w:val="20"/>
                <w:szCs w:val="20"/>
              </w:rPr>
            </w:pPr>
            <w:r>
              <w:rPr>
                <w:rFonts w:hint="eastAsia" w:ascii="宋体" w:hAnsi="宋体" w:cs="宋体"/>
                <w:sz w:val="20"/>
                <w:szCs w:val="20"/>
              </w:rPr>
              <w:t>群众满意度≧85%</w:t>
            </w:r>
          </w:p>
        </w:tc>
      </w:tr>
    </w:tbl>
    <w:p>
      <w:pPr>
        <w:adjustRightInd w:val="0"/>
        <w:snapToGrid w:val="0"/>
        <w:spacing w:line="600" w:lineRule="exact"/>
        <w:ind w:firstLine="803" w:firstLineChars="250"/>
        <w:rPr>
          <w:rFonts w:ascii="仿宋_GB2312" w:hAnsi="楷体" w:eastAsia="仿宋_GB2312"/>
          <w:b/>
          <w:sz w:val="32"/>
          <w:szCs w:val="32"/>
        </w:rPr>
      </w:pPr>
      <w:r>
        <w:rPr>
          <w:rFonts w:hint="eastAsia" w:ascii="仿宋_GB2312" w:hAnsi="楷体" w:eastAsia="仿宋_GB2312"/>
          <w:b/>
          <w:sz w:val="32"/>
          <w:szCs w:val="32"/>
          <w:lang w:val="en-US" w:eastAsia="zh-CN"/>
        </w:rPr>
        <w:t>16.</w:t>
      </w:r>
      <w:r>
        <w:rPr>
          <w:rFonts w:hint="eastAsia" w:ascii="仿宋_GB2312" w:hAnsi="楷体" w:eastAsia="仿宋_GB2312"/>
          <w:b/>
          <w:sz w:val="32"/>
          <w:szCs w:val="32"/>
        </w:rPr>
        <w:t>“</w:t>
      </w:r>
      <w:r>
        <w:rPr>
          <w:rFonts w:hint="eastAsia" w:ascii="仿宋_GB2312" w:hAnsi="楷体" w:eastAsia="仿宋_GB2312"/>
          <w:b/>
          <w:sz w:val="32"/>
          <w:szCs w:val="32"/>
          <w:lang w:val="en-US" w:eastAsia="zh-CN"/>
        </w:rPr>
        <w:t>民政工作经费</w:t>
      </w:r>
      <w:r>
        <w:rPr>
          <w:rFonts w:hint="eastAsia" w:ascii="仿宋_GB2312" w:hAnsi="楷体" w:eastAsia="仿宋_GB2312"/>
          <w:b/>
          <w:sz w:val="32"/>
          <w:szCs w:val="32"/>
        </w:rPr>
        <w:t>”项目。</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1）项目概述。负责机关日常运转，承担文电、会务、安全、保密、信访、信息化、政务公开、新闻宣传、督查督办等工作。负责重要政策和重要文稿的起草工作，负责起草相关地方性法规规章草案，承担民政行业标准化工作，承担规范性文件的合法性审查和行政复议、行政应诉等工作，组织开展法治宣传教育。</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（2）立项依据。上级文件提出任务要求的事项</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（3）实施主体。</w:t>
      </w:r>
      <w:r>
        <w:rPr>
          <w:rFonts w:hint="eastAsia" w:ascii="仿宋_GB2312" w:hAnsi="楷体" w:eastAsia="仿宋_GB2312"/>
          <w:sz w:val="32"/>
          <w:szCs w:val="32"/>
          <w:lang w:val="en-US" w:eastAsia="zh-CN"/>
        </w:rPr>
        <w:t>淮北市民政局</w:t>
      </w:r>
    </w:p>
    <w:p>
      <w:pPr>
        <w:adjustRightInd w:val="0"/>
        <w:snapToGrid w:val="0"/>
        <w:spacing w:line="600" w:lineRule="exact"/>
        <w:ind w:firstLine="640" w:firstLineChars="200"/>
        <w:rPr>
          <w:rFonts w:hint="default" w:ascii="仿宋_GB2312" w:hAnsi="楷体" w:eastAsia="仿宋_GB2312"/>
          <w:sz w:val="32"/>
          <w:szCs w:val="32"/>
          <w:lang w:val="en-US" w:eastAsia="zh-CN"/>
        </w:rPr>
      </w:pPr>
      <w:r>
        <w:rPr>
          <w:rFonts w:hint="eastAsia" w:ascii="仿宋_GB2312" w:hAnsi="楷体" w:eastAsia="仿宋_GB2312"/>
          <w:sz w:val="32"/>
          <w:szCs w:val="32"/>
        </w:rPr>
        <w:t>（4）起止时间。</w:t>
      </w:r>
      <w:r>
        <w:rPr>
          <w:rFonts w:hint="eastAsia" w:ascii="仿宋_GB2312" w:hAnsi="楷体" w:eastAsia="仿宋_GB2312"/>
          <w:sz w:val="32"/>
          <w:szCs w:val="32"/>
          <w:lang w:val="en-US" w:eastAsia="zh-CN"/>
        </w:rPr>
        <w:t>2024年1月-2024年12月</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（5）项目内容。为加快推进民政</w:t>
      </w:r>
      <w:r>
        <w:rPr>
          <w:rFonts w:hint="eastAsia" w:ascii="仿宋_GB2312" w:hAnsi="楷体" w:eastAsia="仿宋_GB2312"/>
          <w:sz w:val="32"/>
          <w:szCs w:val="32"/>
          <w:lang w:eastAsia="zh-CN"/>
        </w:rPr>
        <w:t>标准</w:t>
      </w:r>
      <w:r>
        <w:rPr>
          <w:rFonts w:hint="eastAsia" w:ascii="仿宋_GB2312" w:hAnsi="楷体" w:eastAsia="仿宋_GB2312"/>
          <w:sz w:val="32"/>
          <w:szCs w:val="32"/>
        </w:rPr>
        <w:t>化建设，加强和创新社会管理，建立民政各业务领域的管理和服务标准化体系，培育一批管理科学、服务规范、群众满意的民政标准化引领机构，需要造就一支数量充足、结构合理、素质优良的标准化工业人才队伍，充分发挥他们在标准化知识宣传、标准化监督评估等方面的作用。根据《安徽省民政厅 安徽省质量技术监督局关于进一步推进民政标准化工作的实施意见》皖人民字〔2016〕81号文件精神，民政标准化工作作为全省民政综合评估的一项重要内容，内容包括标准化创制，标准化人才培训等。且标准化建设列入年度考评内容，要求将标准化建设纳入财政预算。</w:t>
      </w:r>
    </w:p>
    <w:p>
      <w:pPr>
        <w:adjustRightInd w:val="0"/>
        <w:snapToGrid w:val="0"/>
        <w:spacing w:line="600" w:lineRule="exact"/>
        <w:ind w:firstLine="640" w:firstLineChars="200"/>
        <w:rPr>
          <w:rFonts w:hint="eastAsia" w:ascii="仿宋_GB2312" w:hAnsi="楷体" w:eastAsia="仿宋_GB2312"/>
          <w:sz w:val="32"/>
          <w:szCs w:val="32"/>
        </w:rPr>
      </w:pPr>
      <w:r>
        <w:rPr>
          <w:rFonts w:hint="eastAsia" w:ascii="仿宋_GB2312" w:hAnsi="楷体" w:eastAsia="仿宋_GB2312"/>
          <w:sz w:val="32"/>
          <w:szCs w:val="32"/>
        </w:rPr>
        <w:t>（6）年度预算安排。</w:t>
      </w:r>
      <w:r>
        <w:rPr>
          <w:rFonts w:hint="eastAsia" w:ascii="仿宋_GB2312" w:hAnsi="楷体" w:eastAsia="仿宋_GB2312"/>
          <w:sz w:val="32"/>
          <w:szCs w:val="32"/>
          <w:lang w:val="en-US" w:eastAsia="zh-CN"/>
        </w:rPr>
        <w:t>27</w:t>
      </w:r>
      <w:r>
        <w:rPr>
          <w:rFonts w:hint="eastAsia" w:ascii="仿宋_GB2312" w:hAnsi="楷体" w:eastAsia="仿宋_GB2312"/>
          <w:sz w:val="32"/>
          <w:szCs w:val="32"/>
        </w:rPr>
        <w:t>万元。</w:t>
      </w:r>
    </w:p>
    <w:p>
      <w:pPr>
        <w:adjustRightInd w:val="0"/>
        <w:snapToGrid w:val="0"/>
        <w:spacing w:line="600" w:lineRule="exact"/>
        <w:ind w:firstLine="640" w:firstLineChars="200"/>
        <w:rPr>
          <w:rFonts w:ascii="仿宋_GB2312" w:hAnsi="楷体" w:eastAsia="仿宋_GB2312"/>
          <w:sz w:val="32"/>
          <w:szCs w:val="32"/>
        </w:rPr>
      </w:pPr>
      <w:r>
        <w:rPr>
          <w:rFonts w:hint="eastAsia" w:ascii="仿宋_GB2312" w:hAnsi="楷体" w:eastAsia="仿宋_GB2312"/>
          <w:sz w:val="32"/>
          <w:szCs w:val="32"/>
        </w:rPr>
        <w:t>（7）绩效目标。</w:t>
      </w:r>
    </w:p>
    <w:tbl>
      <w:tblPr>
        <w:tblStyle w:val="10"/>
        <w:tblW w:w="0" w:type="auto"/>
        <w:tblInd w:w="93" w:type="dxa"/>
        <w:tblLayout w:type="fixed"/>
        <w:tblCellMar>
          <w:top w:w="0" w:type="dxa"/>
          <w:left w:w="108" w:type="dxa"/>
          <w:bottom w:w="0" w:type="dxa"/>
          <w:right w:w="108" w:type="dxa"/>
        </w:tblCellMar>
      </w:tblPr>
      <w:tblGrid>
        <w:gridCol w:w="1000"/>
        <w:gridCol w:w="1473"/>
        <w:gridCol w:w="1001"/>
        <w:gridCol w:w="806"/>
        <w:gridCol w:w="1640"/>
        <w:gridCol w:w="1195"/>
        <w:gridCol w:w="1905"/>
      </w:tblGrid>
      <w:tr>
        <w:tblPrEx>
          <w:tblCellMar>
            <w:top w:w="0" w:type="dxa"/>
            <w:left w:w="108" w:type="dxa"/>
            <w:bottom w:w="0" w:type="dxa"/>
            <w:right w:w="108" w:type="dxa"/>
          </w:tblCellMar>
        </w:tblPrEx>
        <w:trPr>
          <w:trHeight w:val="360"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cs="宋体"/>
                <w:b/>
                <w:bCs/>
                <w:sz w:val="32"/>
                <w:szCs w:val="32"/>
              </w:rPr>
            </w:pPr>
            <w:r>
              <w:rPr>
                <w:rFonts w:hint="eastAsia" w:ascii="宋体" w:hAnsi="宋体" w:eastAsia="宋体" w:cs="宋体"/>
                <w:i w:val="0"/>
                <w:iCs w:val="0"/>
                <w:color w:val="000000"/>
                <w:kern w:val="0"/>
                <w:sz w:val="40"/>
                <w:szCs w:val="40"/>
                <w:u w:val="none"/>
                <w:lang w:val="en-US" w:eastAsia="zh-CN" w:bidi="ar"/>
              </w:rPr>
              <w:t>项目支出绩效目标表</w:t>
            </w:r>
          </w:p>
        </w:tc>
      </w:tr>
      <w:tr>
        <w:tblPrEx>
          <w:tblCellMar>
            <w:top w:w="0" w:type="dxa"/>
            <w:left w:w="108" w:type="dxa"/>
            <w:bottom w:w="0" w:type="dxa"/>
            <w:right w:w="108" w:type="dxa"/>
          </w:tblCellMar>
        </w:tblPrEx>
        <w:trPr>
          <w:trHeight w:val="270" w:hRule="atLeast"/>
        </w:trPr>
        <w:tc>
          <w:tcPr>
            <w:tcW w:w="9020" w:type="dxa"/>
            <w:gridSpan w:val="7"/>
            <w:tcBorders>
              <w:top w:val="nil"/>
              <w:left w:val="nil"/>
              <w:bottom w:val="nil"/>
              <w:right w:val="nil"/>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（2024年度）                                </w:t>
            </w:r>
          </w:p>
        </w:tc>
      </w:tr>
      <w:tr>
        <w:tblPrEx>
          <w:tblCellMar>
            <w:top w:w="0" w:type="dxa"/>
            <w:left w:w="108" w:type="dxa"/>
            <w:bottom w:w="0" w:type="dxa"/>
            <w:right w:w="108" w:type="dxa"/>
          </w:tblCellMar>
        </w:tblPrEx>
        <w:trPr>
          <w:trHeight w:val="330" w:hRule="atLeast"/>
        </w:trPr>
        <w:tc>
          <w:tcPr>
            <w:tcW w:w="3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项目名称</w:t>
            </w:r>
          </w:p>
        </w:tc>
        <w:tc>
          <w:tcPr>
            <w:tcW w:w="5546" w:type="dxa"/>
            <w:gridSpan w:val="4"/>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民政工作经费</w:t>
            </w:r>
          </w:p>
        </w:tc>
      </w:tr>
      <w:tr>
        <w:tblPrEx>
          <w:tblCellMar>
            <w:top w:w="0" w:type="dxa"/>
            <w:left w:w="108" w:type="dxa"/>
            <w:bottom w:w="0" w:type="dxa"/>
            <w:right w:w="108" w:type="dxa"/>
          </w:tblCellMar>
        </w:tblPrEx>
        <w:trPr>
          <w:trHeight w:val="330" w:hRule="atLeast"/>
        </w:trPr>
        <w:tc>
          <w:tcPr>
            <w:tcW w:w="3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主管部门及代码</w:t>
            </w:r>
          </w:p>
        </w:tc>
        <w:tc>
          <w:tcPr>
            <w:tcW w:w="244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淮北市民政局　</w:t>
            </w:r>
          </w:p>
        </w:tc>
        <w:tc>
          <w:tcPr>
            <w:tcW w:w="11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实施单位</w:t>
            </w:r>
          </w:p>
        </w:tc>
        <w:tc>
          <w:tcPr>
            <w:tcW w:w="19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Fonts w:hint="default" w:ascii="方正书宋_GBK" w:hAnsi="方正书宋_GBK" w:eastAsia="方正书宋_GBK" w:cs="方正书宋_GBK"/>
                <w:i w:val="0"/>
                <w:iCs w:val="0"/>
                <w:color w:val="000000"/>
                <w:kern w:val="0"/>
                <w:sz w:val="21"/>
                <w:szCs w:val="21"/>
                <w:u w:val="none"/>
                <w:lang w:val="en-US" w:eastAsia="zh-CN" w:bidi="ar"/>
              </w:rPr>
              <w:t>淮北市民政局</w:t>
            </w:r>
          </w:p>
        </w:tc>
      </w:tr>
      <w:tr>
        <w:tblPrEx>
          <w:tblCellMar>
            <w:top w:w="0" w:type="dxa"/>
            <w:left w:w="108" w:type="dxa"/>
            <w:bottom w:w="0" w:type="dxa"/>
            <w:right w:w="108" w:type="dxa"/>
          </w:tblCellMar>
        </w:tblPrEx>
        <w:trPr>
          <w:trHeight w:val="330" w:hRule="atLeast"/>
        </w:trPr>
        <w:tc>
          <w:tcPr>
            <w:tcW w:w="3474"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项目来源</w:t>
            </w:r>
          </w:p>
        </w:tc>
        <w:tc>
          <w:tcPr>
            <w:tcW w:w="2446"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color w:val="000000"/>
                <w:sz w:val="20"/>
                <w:szCs w:val="20"/>
              </w:rPr>
            </w:pPr>
            <w:r>
              <w:rPr>
                <w:rFonts w:hint="eastAsia" w:ascii="宋体" w:hAnsi="宋体" w:eastAsia="宋体" w:cs="宋体"/>
                <w:i w:val="0"/>
                <w:iCs w:val="0"/>
                <w:color w:val="000000"/>
                <w:kern w:val="0"/>
                <w:sz w:val="20"/>
                <w:szCs w:val="20"/>
                <w:u w:val="none"/>
                <w:lang w:val="en-US" w:eastAsia="zh-CN" w:bidi="ar"/>
              </w:rPr>
              <w:t>财政拨款</w:t>
            </w:r>
          </w:p>
        </w:tc>
        <w:tc>
          <w:tcPr>
            <w:tcW w:w="119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0"/>
                <w:szCs w:val="20"/>
                <w:u w:val="none"/>
                <w:lang w:val="en-US" w:eastAsia="zh-CN" w:bidi="ar"/>
              </w:rPr>
              <w:t>项目期</w:t>
            </w:r>
          </w:p>
        </w:tc>
        <w:tc>
          <w:tcPr>
            <w:tcW w:w="19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pPr>
            <w:r>
              <w:rPr>
                <w:rStyle w:val="14"/>
                <w:rFonts w:eastAsia="宋体"/>
                <w:lang w:val="en-US" w:eastAsia="zh-CN" w:bidi="ar"/>
              </w:rPr>
              <w:t>1</w:t>
            </w:r>
            <w:r>
              <w:rPr>
                <w:rStyle w:val="15"/>
                <w:lang w:val="en-US" w:eastAsia="zh-CN" w:bidi="ar"/>
              </w:rPr>
              <w:t>年</w:t>
            </w:r>
          </w:p>
        </w:tc>
      </w:tr>
      <w:tr>
        <w:tblPrEx>
          <w:tblCellMar>
            <w:top w:w="0" w:type="dxa"/>
            <w:left w:w="108" w:type="dxa"/>
            <w:bottom w:w="0" w:type="dxa"/>
            <w:right w:w="108" w:type="dxa"/>
          </w:tblCellMar>
        </w:tblPrEx>
        <w:trPr>
          <w:trHeight w:val="330" w:hRule="atLeast"/>
        </w:trPr>
        <w:tc>
          <w:tcPr>
            <w:tcW w:w="3474" w:type="dxa"/>
            <w:gridSpan w:val="3"/>
            <w:vMerge w:val="restart"/>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项目资金（万元）</w:t>
            </w:r>
          </w:p>
        </w:tc>
        <w:tc>
          <w:tcPr>
            <w:tcW w:w="24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27</w:t>
            </w:r>
          </w:p>
        </w:tc>
      </w:tr>
      <w:tr>
        <w:tblPrEx>
          <w:tblCellMar>
            <w:top w:w="0" w:type="dxa"/>
            <w:left w:w="108" w:type="dxa"/>
            <w:bottom w:w="0" w:type="dxa"/>
            <w:right w:w="108" w:type="dxa"/>
          </w:tblCellMar>
        </w:tblPrEx>
        <w:trPr>
          <w:trHeight w:val="330" w:hRule="atLeast"/>
        </w:trPr>
        <w:tc>
          <w:tcPr>
            <w:tcW w:w="3474"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p>
        </w:tc>
        <w:tc>
          <w:tcPr>
            <w:tcW w:w="24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100"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宋体" w:hAnsi="宋体" w:eastAsia="宋体" w:cs="宋体"/>
                <w:sz w:val="20"/>
                <w:szCs w:val="20"/>
                <w:lang w:val="en-US" w:eastAsia="zh-CN"/>
              </w:rPr>
            </w:pPr>
            <w:r>
              <w:rPr>
                <w:rFonts w:hint="eastAsia" w:ascii="宋体" w:hAnsi="宋体" w:cs="宋体"/>
                <w:sz w:val="20"/>
                <w:szCs w:val="20"/>
                <w:lang w:val="en-US" w:eastAsia="zh-CN"/>
              </w:rPr>
              <w:t>27</w:t>
            </w:r>
          </w:p>
        </w:tc>
      </w:tr>
      <w:tr>
        <w:tblPrEx>
          <w:tblCellMar>
            <w:top w:w="0" w:type="dxa"/>
            <w:left w:w="108" w:type="dxa"/>
            <w:bottom w:w="0" w:type="dxa"/>
            <w:right w:w="108" w:type="dxa"/>
          </w:tblCellMar>
        </w:tblPrEx>
        <w:trPr>
          <w:trHeight w:val="330" w:hRule="atLeast"/>
        </w:trPr>
        <w:tc>
          <w:tcPr>
            <w:tcW w:w="3474" w:type="dxa"/>
            <w:gridSpan w:val="3"/>
            <w:vMerge w:val="continue"/>
            <w:tcBorders>
              <w:top w:val="single" w:color="auto" w:sz="4" w:space="0"/>
              <w:left w:val="single" w:color="auto" w:sz="4" w:space="0"/>
              <w:bottom w:val="single" w:color="000000" w:sz="4" w:space="0"/>
              <w:right w:val="single" w:color="000000" w:sz="4" w:space="0"/>
            </w:tcBorders>
            <w:noWrap w:val="0"/>
            <w:vAlign w:val="center"/>
          </w:tcPr>
          <w:p>
            <w:pPr>
              <w:jc w:val="center"/>
              <w:rPr>
                <w:rFonts w:ascii="宋体" w:hAnsi="宋体" w:cs="宋体"/>
                <w:sz w:val="20"/>
                <w:szCs w:val="20"/>
              </w:rPr>
            </w:pPr>
          </w:p>
        </w:tc>
        <w:tc>
          <w:tcPr>
            <w:tcW w:w="2446"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100"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sz w:val="20"/>
                <w:szCs w:val="20"/>
              </w:rPr>
            </w:pPr>
          </w:p>
        </w:tc>
      </w:tr>
      <w:tr>
        <w:tblPrEx>
          <w:tblCellMar>
            <w:top w:w="0" w:type="dxa"/>
            <w:left w:w="108" w:type="dxa"/>
            <w:bottom w:w="0" w:type="dxa"/>
            <w:right w:w="108" w:type="dxa"/>
          </w:tblCellMar>
        </w:tblPrEx>
        <w:trPr>
          <w:trHeight w:val="330" w:hRule="atLeast"/>
        </w:trPr>
        <w:tc>
          <w:tcPr>
            <w:tcW w:w="3474" w:type="dxa"/>
            <w:gridSpan w:val="3"/>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p>
        </w:tc>
        <w:tc>
          <w:tcPr>
            <w:tcW w:w="2446" w:type="dxa"/>
            <w:gridSpan w:val="2"/>
            <w:tcBorders>
              <w:top w:val="single" w:color="auto" w:sz="4" w:space="0"/>
              <w:left w:val="nil"/>
              <w:bottom w:val="single" w:color="auto" w:sz="4" w:space="0"/>
              <w:right w:val="nil"/>
            </w:tcBorders>
            <w:noWrap w:val="0"/>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100" w:type="dxa"/>
            <w:gridSpan w:val="2"/>
            <w:tcBorders>
              <w:top w:val="single" w:color="auto" w:sz="4" w:space="0"/>
              <w:left w:val="single" w:color="auto" w:sz="4" w:space="0"/>
              <w:bottom w:val="single" w:color="auto" w:sz="4" w:space="0"/>
              <w:right w:val="single" w:color="000000" w:sz="4" w:space="0"/>
            </w:tcBorders>
            <w:noWrap w:val="0"/>
            <w:vAlign w:val="center"/>
          </w:tcPr>
          <w:p>
            <w:pPr>
              <w:jc w:val="right"/>
              <w:rPr>
                <w:rFonts w:ascii="宋体" w:hAnsi="宋体" w:cs="宋体"/>
                <w:sz w:val="20"/>
                <w:szCs w:val="20"/>
              </w:rPr>
            </w:pPr>
          </w:p>
        </w:tc>
      </w:tr>
      <w:tr>
        <w:tblPrEx>
          <w:tblCellMar>
            <w:top w:w="0" w:type="dxa"/>
            <w:left w:w="108" w:type="dxa"/>
            <w:bottom w:w="0" w:type="dxa"/>
            <w:right w:w="108" w:type="dxa"/>
          </w:tblCellMar>
        </w:tblPrEx>
        <w:trPr>
          <w:trHeight w:val="660" w:hRule="atLeast"/>
        </w:trPr>
        <w:tc>
          <w:tcPr>
            <w:tcW w:w="100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年度目标</w:t>
            </w:r>
          </w:p>
        </w:tc>
        <w:tc>
          <w:tcPr>
            <w:tcW w:w="8020" w:type="dxa"/>
            <w:gridSpan w:val="6"/>
            <w:tcBorders>
              <w:top w:val="single" w:color="auto" w:sz="4" w:space="0"/>
              <w:left w:val="nil"/>
              <w:bottom w:val="single" w:color="auto" w:sz="4" w:space="0"/>
              <w:right w:val="nil"/>
            </w:tcBorders>
            <w:noWrap w:val="0"/>
            <w:vAlign w:val="center"/>
          </w:tcPr>
          <w:p>
            <w:pPr>
              <w:keepNext w:val="0"/>
              <w:keepLines w:val="0"/>
              <w:widowControl/>
              <w:suppressLineNumbers w:val="0"/>
              <w:jc w:val="left"/>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负责机关日常运转，承担文电、会务、安全、保密、信访、信息化、政务公开、新闻宣传、督查督办等工作。负责重要政策和重要文稿的起草工作，负责起草相关地方性法规规章草案，承担民政行业标准化工作，承担规范性文件的合法性审查和行政复议、行政应诉等工作，组织开展法治宣传教育。</w:t>
            </w:r>
          </w:p>
        </w:tc>
      </w:tr>
      <w:tr>
        <w:tblPrEx>
          <w:tblCellMar>
            <w:top w:w="0" w:type="dxa"/>
            <w:left w:w="108" w:type="dxa"/>
            <w:bottom w:w="0" w:type="dxa"/>
            <w:right w:w="108" w:type="dxa"/>
          </w:tblCellMar>
        </w:tblPrEx>
        <w:trPr>
          <w:trHeight w:val="830" w:hRule="atLeast"/>
        </w:trPr>
        <w:tc>
          <w:tcPr>
            <w:tcW w:w="1000"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绩效指标</w:t>
            </w:r>
          </w:p>
        </w:tc>
        <w:tc>
          <w:tcPr>
            <w:tcW w:w="1473" w:type="dxa"/>
            <w:tcBorders>
              <w:top w:val="nil"/>
              <w:left w:val="nil"/>
              <w:bottom w:val="nil"/>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一级指标</w:t>
            </w:r>
          </w:p>
        </w:tc>
        <w:tc>
          <w:tcPr>
            <w:tcW w:w="180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二级指标</w:t>
            </w:r>
          </w:p>
        </w:tc>
        <w:tc>
          <w:tcPr>
            <w:tcW w:w="16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三级指标</w:t>
            </w:r>
          </w:p>
        </w:tc>
        <w:tc>
          <w:tcPr>
            <w:tcW w:w="31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指标值</w:t>
            </w:r>
          </w:p>
        </w:tc>
      </w:tr>
      <w:tr>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p>
        </w:tc>
        <w:tc>
          <w:tcPr>
            <w:tcW w:w="147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产出指标</w:t>
            </w:r>
          </w:p>
        </w:tc>
        <w:tc>
          <w:tcPr>
            <w:tcW w:w="180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数量指标</w:t>
            </w:r>
          </w:p>
        </w:tc>
        <w:tc>
          <w:tcPr>
            <w:tcW w:w="16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sz w:val="20"/>
                <w:szCs w:val="20"/>
                <w:lang w:eastAsia="zh-CN"/>
              </w:rPr>
            </w:pPr>
            <w:r>
              <w:rPr>
                <w:rFonts w:hint="eastAsia" w:ascii="宋体" w:hAnsi="宋体" w:eastAsia="宋体" w:cs="宋体"/>
                <w:i w:val="0"/>
                <w:iCs w:val="0"/>
                <w:color w:val="000000"/>
                <w:kern w:val="0"/>
                <w:sz w:val="20"/>
                <w:szCs w:val="20"/>
                <w:u w:val="none"/>
                <w:lang w:val="en-US" w:eastAsia="zh-CN" w:bidi="ar"/>
              </w:rPr>
              <w:t>编制民政标准化项目</w:t>
            </w:r>
          </w:p>
        </w:tc>
        <w:tc>
          <w:tcPr>
            <w:tcW w:w="3100" w:type="dxa"/>
            <w:gridSpan w:val="2"/>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1项</w:t>
            </w:r>
          </w:p>
        </w:tc>
      </w:tr>
      <w:tr>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p>
        </w:tc>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80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质量指标</w:t>
            </w:r>
          </w:p>
        </w:tc>
        <w:tc>
          <w:tcPr>
            <w:tcW w:w="16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c>
          <w:tcPr>
            <w:tcW w:w="3100" w:type="dxa"/>
            <w:gridSpan w:val="2"/>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r>
      <w:tr>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p>
        </w:tc>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80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时效指标</w:t>
            </w:r>
          </w:p>
        </w:tc>
        <w:tc>
          <w:tcPr>
            <w:tcW w:w="16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2024年12月前</w:t>
            </w:r>
          </w:p>
        </w:tc>
        <w:tc>
          <w:tcPr>
            <w:tcW w:w="3100" w:type="dxa"/>
            <w:gridSpan w:val="2"/>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2024年12月前</w:t>
            </w:r>
          </w:p>
        </w:tc>
      </w:tr>
      <w:tr>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p>
        </w:tc>
        <w:tc>
          <w:tcPr>
            <w:tcW w:w="147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80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成本指标</w:t>
            </w:r>
          </w:p>
        </w:tc>
        <w:tc>
          <w:tcPr>
            <w:tcW w:w="16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w:t>
            </w:r>
          </w:p>
        </w:tc>
        <w:tc>
          <w:tcPr>
            <w:tcW w:w="3100" w:type="dxa"/>
            <w:gridSpan w:val="2"/>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w:t>
            </w:r>
          </w:p>
        </w:tc>
      </w:tr>
      <w:tr>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p>
        </w:tc>
        <w:tc>
          <w:tcPr>
            <w:tcW w:w="1473"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效益指标</w:t>
            </w:r>
          </w:p>
        </w:tc>
        <w:tc>
          <w:tcPr>
            <w:tcW w:w="180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经济效益指标</w:t>
            </w:r>
          </w:p>
        </w:tc>
        <w:tc>
          <w:tcPr>
            <w:tcW w:w="16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无经济效益指标</w:t>
            </w:r>
          </w:p>
        </w:tc>
        <w:tc>
          <w:tcPr>
            <w:tcW w:w="3100" w:type="dxa"/>
            <w:gridSpan w:val="2"/>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w:t>
            </w:r>
          </w:p>
        </w:tc>
      </w:tr>
      <w:tr>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p>
        </w:tc>
        <w:tc>
          <w:tcPr>
            <w:tcW w:w="1473"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80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社会效益指标</w:t>
            </w:r>
          </w:p>
        </w:tc>
        <w:tc>
          <w:tcPr>
            <w:tcW w:w="16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c>
          <w:tcPr>
            <w:tcW w:w="3100" w:type="dxa"/>
            <w:gridSpan w:val="2"/>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造就一支数量充足、结构合理、素质优良的民政工作人才队伍</w:t>
            </w:r>
          </w:p>
        </w:tc>
      </w:tr>
      <w:tr>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p>
        </w:tc>
        <w:tc>
          <w:tcPr>
            <w:tcW w:w="1473"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80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生态效益指标</w:t>
            </w:r>
          </w:p>
        </w:tc>
        <w:tc>
          <w:tcPr>
            <w:tcW w:w="16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无生态效益</w:t>
            </w:r>
          </w:p>
        </w:tc>
        <w:tc>
          <w:tcPr>
            <w:tcW w:w="3100" w:type="dxa"/>
            <w:gridSpan w:val="2"/>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w:t>
            </w:r>
          </w:p>
        </w:tc>
      </w:tr>
      <w:tr>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p>
        </w:tc>
        <w:tc>
          <w:tcPr>
            <w:tcW w:w="1473"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sz w:val="20"/>
                <w:szCs w:val="20"/>
              </w:rPr>
            </w:pPr>
          </w:p>
        </w:tc>
        <w:tc>
          <w:tcPr>
            <w:tcW w:w="180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可持续影响指标</w:t>
            </w:r>
          </w:p>
        </w:tc>
        <w:tc>
          <w:tcPr>
            <w:tcW w:w="16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w:t>
            </w:r>
          </w:p>
        </w:tc>
        <w:tc>
          <w:tcPr>
            <w:tcW w:w="3100" w:type="dxa"/>
            <w:gridSpan w:val="2"/>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无</w:t>
            </w:r>
          </w:p>
        </w:tc>
      </w:tr>
      <w:tr>
        <w:tblPrEx>
          <w:tblCellMar>
            <w:top w:w="0" w:type="dxa"/>
            <w:left w:w="108" w:type="dxa"/>
            <w:bottom w:w="0" w:type="dxa"/>
            <w:right w:w="108" w:type="dxa"/>
          </w:tblCellMar>
        </w:tblPrEx>
        <w:trPr>
          <w:trHeight w:val="315" w:hRule="atLeast"/>
        </w:trPr>
        <w:tc>
          <w:tcPr>
            <w:tcW w:w="1000" w:type="dxa"/>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sz w:val="20"/>
                <w:szCs w:val="20"/>
              </w:rPr>
            </w:pPr>
          </w:p>
        </w:tc>
        <w:tc>
          <w:tcPr>
            <w:tcW w:w="1473" w:type="dxa"/>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满意度指标</w:t>
            </w:r>
          </w:p>
        </w:tc>
        <w:tc>
          <w:tcPr>
            <w:tcW w:w="1807"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满意度指标</w:t>
            </w:r>
          </w:p>
        </w:tc>
        <w:tc>
          <w:tcPr>
            <w:tcW w:w="164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满意度≥85%</w:t>
            </w:r>
          </w:p>
        </w:tc>
        <w:tc>
          <w:tcPr>
            <w:tcW w:w="3100" w:type="dxa"/>
            <w:gridSpan w:val="2"/>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ascii="宋体" w:hAnsi="宋体" w:cs="宋体"/>
                <w:sz w:val="20"/>
                <w:szCs w:val="20"/>
              </w:rPr>
            </w:pPr>
            <w:r>
              <w:rPr>
                <w:rFonts w:hint="eastAsia" w:ascii="宋体" w:hAnsi="宋体" w:eastAsia="宋体" w:cs="宋体"/>
                <w:i w:val="0"/>
                <w:iCs w:val="0"/>
                <w:color w:val="000000"/>
                <w:kern w:val="0"/>
                <w:sz w:val="20"/>
                <w:szCs w:val="20"/>
                <w:u w:val="none"/>
                <w:lang w:val="en-US" w:eastAsia="zh-CN" w:bidi="ar"/>
              </w:rPr>
              <w:t>满意度≥85%</w:t>
            </w:r>
          </w:p>
        </w:tc>
      </w:tr>
    </w:tbl>
    <w:p>
      <w:pPr>
        <w:adjustRightInd w:val="0"/>
        <w:snapToGrid w:val="0"/>
        <w:spacing w:line="580" w:lineRule="exact"/>
        <w:ind w:firstLine="642" w:firstLineChars="200"/>
        <w:rPr>
          <w:rFonts w:ascii="TimesNewRoman" w:hAnsi="TimesNewRoman" w:eastAsia="仿宋_GB2312" w:cs="TimesNewRoman"/>
          <w:b/>
          <w:sz w:val="32"/>
          <w:szCs w:val="32"/>
        </w:rPr>
      </w:pPr>
      <w:bookmarkStart w:id="0" w:name="_GoBack"/>
      <w:bookmarkEnd w:id="0"/>
      <w:r>
        <w:rPr>
          <w:rFonts w:hint="eastAsia" w:ascii="TimesNewRoman" w:hAnsi="TimesNewRoman" w:eastAsia="仿宋_GB2312" w:cs="TimesNewRoman"/>
          <w:b/>
          <w:sz w:val="32"/>
          <w:szCs w:val="32"/>
        </w:rPr>
        <w:t>（二）机关运行经费。</w:t>
      </w:r>
    </w:p>
    <w:p>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2024年机关运行经费财政拨款预算</w:t>
      </w:r>
      <w:r>
        <w:rPr>
          <w:rFonts w:hint="eastAsia" w:ascii="仿宋_GB2312" w:hAnsi="仿宋_GB2312" w:eastAsia="仿宋_GB2312" w:cs="仿宋_GB2312"/>
          <w:kern w:val="0"/>
          <w:sz w:val="32"/>
          <w:szCs w:val="32"/>
          <w:lang w:val="en-US" w:eastAsia="zh-CN"/>
        </w:rPr>
        <w:t>57.74</w:t>
      </w:r>
      <w:r>
        <w:rPr>
          <w:rFonts w:hint="eastAsia" w:ascii="仿宋_GB2312" w:hAnsi="仿宋_GB2312" w:eastAsia="仿宋_GB2312" w:cs="仿宋_GB2312"/>
          <w:kern w:val="0"/>
          <w:sz w:val="32"/>
          <w:szCs w:val="32"/>
        </w:rPr>
        <w:t>万元，比2023年预算</w:t>
      </w:r>
      <w:r>
        <w:rPr>
          <w:rFonts w:hint="eastAsia" w:ascii="仿宋_GB2312" w:hAnsi="仿宋_GB2312" w:eastAsia="仿宋_GB2312" w:cs="仿宋_GB2312"/>
          <w:kern w:val="0"/>
          <w:sz w:val="32"/>
          <w:szCs w:val="32"/>
          <w:lang w:val="en-US" w:eastAsia="zh-CN"/>
        </w:rPr>
        <w:t>减少12.26</w:t>
      </w:r>
      <w:r>
        <w:rPr>
          <w:rFonts w:hint="eastAsia"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lang w:val="en-US" w:eastAsia="zh-CN"/>
        </w:rPr>
        <w:t>减少21.23</w:t>
      </w:r>
      <w:r>
        <w:rPr>
          <w:rFonts w:hint="eastAsia" w:ascii="仿宋_GB2312" w:hAnsi="仿宋_GB2312" w:eastAsia="仿宋_GB2312" w:cs="仿宋_GB2312"/>
          <w:kern w:val="0"/>
          <w:sz w:val="32"/>
          <w:szCs w:val="32"/>
        </w:rPr>
        <w:t>%，原因主要是</w:t>
      </w:r>
      <w:r>
        <w:rPr>
          <w:rFonts w:hint="eastAsia" w:ascii="仿宋_GB2312" w:hAnsi="仿宋_GB2312" w:eastAsia="仿宋_GB2312" w:cs="仿宋_GB2312"/>
          <w:kern w:val="0"/>
          <w:sz w:val="32"/>
          <w:szCs w:val="32"/>
          <w:lang w:val="en-US" w:eastAsia="zh-CN"/>
        </w:rPr>
        <w:t>压减支出</w:t>
      </w:r>
      <w:r>
        <w:rPr>
          <w:rFonts w:hint="eastAsia" w:ascii="TimesNewRoman" w:hAnsi="TimesNewRoman" w:eastAsia="仿宋_GB2312" w:cs="TimesNewRoman"/>
          <w:kern w:val="0"/>
          <w:sz w:val="32"/>
          <w:szCs w:val="32"/>
        </w:rPr>
        <w:t>。</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2024年政府采购预算</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万元。其中：政府采购货物预算</w:t>
      </w:r>
      <w:r>
        <w:rPr>
          <w:rFonts w:hint="eastAsia" w:ascii="仿宋_GB2312" w:hAnsi="仿宋_GB2312" w:eastAsia="仿宋_GB2312" w:cs="仿宋_GB2312"/>
          <w:kern w:val="0"/>
          <w:sz w:val="32"/>
          <w:szCs w:val="32"/>
          <w:lang w:val="en-US" w:eastAsia="zh-CN"/>
        </w:rPr>
        <w:t>23</w:t>
      </w:r>
      <w:r>
        <w:rPr>
          <w:rFonts w:hint="eastAsia" w:ascii="仿宋_GB2312" w:hAnsi="仿宋_GB2312" w:eastAsia="仿宋_GB2312" w:cs="仿宋_GB2312"/>
          <w:kern w:val="0"/>
          <w:sz w:val="32"/>
          <w:szCs w:val="32"/>
        </w:rPr>
        <w:t>万元，政府采购工程预算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万元，政府采购服务预算</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r>
        <w:rPr>
          <w:rFonts w:hint="eastAsia" w:ascii="TimesNewRoman" w:hAnsi="TimesNewRoman" w:eastAsia="仿宋_GB2312" w:cs="TimesNewRoman"/>
          <w:kern w:val="0"/>
          <w:sz w:val="32"/>
          <w:szCs w:val="32"/>
        </w:rPr>
        <w:t>。</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截至</w:t>
      </w:r>
      <w:r>
        <w:rPr>
          <w:rFonts w:hint="eastAsia" w:ascii="仿宋_GB2312" w:hAnsi="仿宋_GB2312" w:eastAsia="仿宋_GB2312" w:cs="仿宋_GB2312"/>
          <w:kern w:val="0"/>
          <w:sz w:val="32"/>
          <w:szCs w:val="32"/>
          <w:lang w:eastAsia="zh-CN"/>
        </w:rPr>
        <w:t>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年12月31日，</w:t>
      </w:r>
      <w:r>
        <w:rPr>
          <w:rFonts w:hint="eastAsia" w:ascii="仿宋_GB2312" w:hAnsi="仿宋_GB2312" w:eastAsia="仿宋_GB2312" w:cs="仿宋_GB2312"/>
          <w:kern w:val="0"/>
          <w:sz w:val="32"/>
          <w:szCs w:val="32"/>
          <w:lang w:val="en-US" w:eastAsia="zh-CN"/>
        </w:rPr>
        <w:t>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rPr>
        <w:t>共有车辆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辆，其中：特种专业技术用车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其他用车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辆；单价100万元</w:t>
      </w:r>
      <w:r>
        <w:rPr>
          <w:rFonts w:hint="eastAsia" w:ascii="仿宋_GB2312" w:hAnsi="仿宋_GB2312" w:eastAsia="仿宋_GB2312" w:cs="仿宋_GB2312"/>
          <w:kern w:val="0"/>
          <w:sz w:val="32"/>
          <w:szCs w:val="32"/>
          <w:lang w:eastAsia="zh-CN"/>
        </w:rPr>
        <w:t>（含）</w:t>
      </w:r>
      <w:r>
        <w:rPr>
          <w:rFonts w:hint="eastAsia" w:ascii="仿宋_GB2312" w:hAnsi="仿宋_GB2312" w:eastAsia="仿宋_GB2312" w:cs="仿宋_GB2312"/>
          <w:kern w:val="0"/>
          <w:sz w:val="32"/>
          <w:szCs w:val="32"/>
        </w:rPr>
        <w:t>以上设备</w:t>
      </w:r>
      <w:r>
        <w:rPr>
          <w:rFonts w:hint="eastAsia" w:ascii="仿宋_GB2312" w:hAnsi="仿宋_GB2312" w:eastAsia="仿宋_GB2312" w:cs="仿宋_GB2312"/>
          <w:kern w:val="0"/>
          <w:sz w:val="32"/>
          <w:szCs w:val="32"/>
          <w:lang w:eastAsia="zh-CN"/>
        </w:rPr>
        <w:t>（不含车辆）</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w:t>
      </w:r>
    </w:p>
    <w:p>
      <w:pPr>
        <w:ind w:firstLine="640" w:firstLineChars="200"/>
        <w:rPr>
          <w:rFonts w:ascii="TimesNewRoman" w:hAnsi="TimesNewRoman" w:eastAsia="仿宋_GB2312" w:cs="TimesNewRoman"/>
          <w:kern w:val="0"/>
          <w:sz w:val="32"/>
          <w:szCs w:val="32"/>
        </w:rPr>
      </w:pPr>
      <w:r>
        <w:rPr>
          <w:rFonts w:hint="eastAsia" w:ascii="仿宋_GB2312" w:hAnsi="仿宋_GB2312" w:eastAsia="仿宋_GB2312" w:cs="仿宋_GB2312"/>
          <w:kern w:val="0"/>
          <w:sz w:val="32"/>
          <w:szCs w:val="32"/>
        </w:rPr>
        <w:t>2024年</w:t>
      </w:r>
      <w:r>
        <w:rPr>
          <w:rFonts w:hint="eastAsia" w:ascii="仿宋_GB2312" w:hAnsi="仿宋_GB2312" w:eastAsia="仿宋_GB2312" w:cs="仿宋_GB2312"/>
          <w:kern w:val="0"/>
          <w:sz w:val="32"/>
          <w:szCs w:val="32"/>
          <w:lang w:eastAsia="zh-CN"/>
        </w:rPr>
        <w:t>单位</w:t>
      </w:r>
      <w:r>
        <w:rPr>
          <w:rFonts w:hint="eastAsia" w:ascii="仿宋_GB2312" w:hAnsi="仿宋_GB2312" w:eastAsia="仿宋_GB2312" w:cs="仿宋_GB2312"/>
          <w:kern w:val="0"/>
          <w:sz w:val="32"/>
          <w:szCs w:val="32"/>
        </w:rPr>
        <w:t>预算安排购置公务用车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辆，购置费</w:t>
      </w:r>
      <w:r>
        <w:rPr>
          <w:rFonts w:hint="eastAsia" w:ascii="仿宋_GB2312" w:hAnsi="仿宋_GB2312" w:eastAsia="仿宋_GB2312" w:cs="仿宋_GB2312"/>
          <w:kern w:val="0"/>
          <w:sz w:val="32"/>
          <w:szCs w:val="32"/>
          <w:lang w:val="en-US" w:eastAsia="zh-CN"/>
        </w:rPr>
        <w:t>25</w:t>
      </w:r>
      <w:r>
        <w:rPr>
          <w:rFonts w:hint="eastAsia" w:ascii="仿宋_GB2312" w:hAnsi="仿宋_GB2312" w:eastAsia="仿宋_GB2312" w:cs="仿宋_GB2312"/>
          <w:kern w:val="0"/>
          <w:sz w:val="32"/>
          <w:szCs w:val="32"/>
        </w:rPr>
        <w:t>万元，其中：执法执勤用车</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辆、特种专业技术用车</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辆；安排购置单价50万元以上的通用设备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万元；安排购置单价100万元以上专用设备</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台（套），购置费</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adjustRightInd w:val="0"/>
        <w:snapToGrid w:val="0"/>
        <w:spacing w:line="580" w:lineRule="exact"/>
        <w:ind w:firstLine="642" w:firstLineChars="200"/>
        <w:rPr>
          <w:rFonts w:ascii="TimesNewRoman" w:hAnsi="TimesNewRoman" w:eastAsia="仿宋_GB2312" w:cs="TimesNewRoman"/>
          <w:b/>
          <w:sz w:val="32"/>
          <w:szCs w:val="32"/>
        </w:rPr>
      </w:pPr>
      <w:r>
        <w:rPr>
          <w:rFonts w:hint="eastAsia" w:ascii="TimesNewRoman" w:hAnsi="TimesNewRoman" w:eastAsia="仿宋_GB2312" w:cs="TimesNewRoman"/>
          <w:b/>
          <w:sz w:val="32"/>
          <w:szCs w:val="32"/>
        </w:rPr>
        <w:t>（五）绩效目标设置情况。</w:t>
      </w: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2024年，淮北市</w:t>
      </w:r>
      <w:r>
        <w:rPr>
          <w:rFonts w:hint="eastAsia" w:ascii="仿宋_GB2312" w:hAnsi="仿宋_GB2312" w:eastAsia="仿宋_GB2312" w:cs="仿宋_GB2312"/>
          <w:kern w:val="0"/>
          <w:sz w:val="32"/>
          <w:szCs w:val="32"/>
          <w:lang w:eastAsia="zh-CN"/>
        </w:rPr>
        <w:t>民政局</w:t>
      </w:r>
      <w:r>
        <w:rPr>
          <w:rFonts w:hint="eastAsia" w:ascii="仿宋_GB2312" w:hAnsi="仿宋_GB2312" w:eastAsia="仿宋_GB2312" w:cs="仿宋_GB2312"/>
          <w:kern w:val="0"/>
          <w:sz w:val="32"/>
          <w:szCs w:val="32"/>
          <w:lang w:val="en-US" w:eastAsia="zh-CN"/>
        </w:rPr>
        <w:t>16</w:t>
      </w:r>
      <w:r>
        <w:rPr>
          <w:rFonts w:hint="eastAsia" w:ascii="仿宋_GB2312" w:hAnsi="仿宋_GB2312" w:eastAsia="仿宋_GB2312" w:cs="仿宋_GB2312"/>
          <w:kern w:val="0"/>
          <w:sz w:val="32"/>
          <w:szCs w:val="32"/>
        </w:rPr>
        <w:t>个项目实行了绩效目标管理，涉及一般公共预算当年财政拨款</w:t>
      </w:r>
      <w:r>
        <w:rPr>
          <w:rFonts w:hint="eastAsia" w:ascii="仿宋_GB2312" w:hAnsi="仿宋_GB2312" w:eastAsia="仿宋_GB2312" w:cs="仿宋_GB2312"/>
          <w:kern w:val="0"/>
          <w:sz w:val="32"/>
          <w:szCs w:val="32"/>
          <w:lang w:val="en-US" w:eastAsia="zh-CN"/>
        </w:rPr>
        <w:t>1206</w:t>
      </w:r>
      <w:r>
        <w:rPr>
          <w:rFonts w:hint="eastAsia" w:ascii="仿宋_GB2312" w:hAnsi="仿宋_GB2312" w:eastAsia="仿宋_GB2312" w:cs="仿宋_GB2312"/>
          <w:kern w:val="0"/>
          <w:sz w:val="32"/>
          <w:szCs w:val="32"/>
        </w:rPr>
        <w:t>万元、政府性基金预算当年财政拨款</w:t>
      </w:r>
      <w:r>
        <w:rPr>
          <w:rFonts w:hint="eastAsia" w:ascii="仿宋_GB2312" w:hAnsi="仿宋_GB2312" w:eastAsia="仿宋_GB2312" w:cs="仿宋_GB2312"/>
          <w:kern w:val="0"/>
          <w:sz w:val="32"/>
          <w:szCs w:val="32"/>
          <w:lang w:val="en-US" w:eastAsia="zh-CN"/>
        </w:rPr>
        <w:t>795</w:t>
      </w:r>
      <w:r>
        <w:rPr>
          <w:rFonts w:hint="eastAsia" w:ascii="仿宋_GB2312" w:hAnsi="仿宋_GB2312" w:eastAsia="仿宋_GB2312" w:cs="仿宋_GB2312"/>
          <w:kern w:val="0"/>
          <w:sz w:val="32"/>
          <w:szCs w:val="32"/>
        </w:rPr>
        <w:t>万元、财政专户管理资金当年安排</w:t>
      </w:r>
      <w:r>
        <w:rPr>
          <w:rFonts w:hint="eastAsia" w:ascii="仿宋_GB2312" w:hAnsi="仿宋_GB2312" w:eastAsia="仿宋_GB2312" w:cs="仿宋_GB2312"/>
          <w:kern w:val="0"/>
          <w:sz w:val="32"/>
          <w:szCs w:val="32"/>
          <w:lang w:val="en-US" w:eastAsia="zh-CN"/>
        </w:rPr>
        <w:t>0</w:t>
      </w:r>
      <w:r>
        <w:rPr>
          <w:rFonts w:hint="eastAsia" w:ascii="仿宋_GB2312" w:hAnsi="仿宋_GB2312" w:eastAsia="仿宋_GB2312" w:cs="仿宋_GB2312"/>
          <w:kern w:val="0"/>
          <w:sz w:val="32"/>
          <w:szCs w:val="32"/>
        </w:rPr>
        <w:t>万元。</w:t>
      </w:r>
    </w:p>
    <w:p>
      <w:pPr>
        <w:pStyle w:val="8"/>
        <w:adjustRightInd w:val="0"/>
        <w:snapToGrid w:val="0"/>
        <w:spacing w:line="560" w:lineRule="exact"/>
        <w:jc w:val="center"/>
        <w:rPr>
          <w:rFonts w:ascii="TimesNewRoman" w:hAnsi="TimesNewRoman" w:eastAsia="黑体" w:cs="TimesNewRoman"/>
          <w:bCs/>
          <w:sz w:val="36"/>
          <w:szCs w:val="36"/>
        </w:rPr>
      </w:pPr>
    </w:p>
    <w:p>
      <w:pPr>
        <w:pStyle w:val="8"/>
        <w:adjustRightInd w:val="0"/>
        <w:snapToGrid w:val="0"/>
        <w:spacing w:line="560" w:lineRule="exact"/>
        <w:jc w:val="center"/>
        <w:rPr>
          <w:rFonts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或单位从同级财政</w:t>
      </w:r>
      <w:r>
        <w:rPr>
          <w:rFonts w:hint="eastAsia" w:ascii="TimesNewRoman" w:hAnsi="TimesNewRoman" w:eastAsia="仿宋_GB2312" w:cs="TimesNewRoman"/>
          <w:sz w:val="32"/>
          <w:szCs w:val="32"/>
          <w:lang w:eastAsia="zh-CN"/>
        </w:rPr>
        <w:t>单位</w:t>
      </w:r>
      <w:r>
        <w:rPr>
          <w:rFonts w:hint="eastAsia" w:ascii="TimesNewRoman" w:hAnsi="TimesNewRoman" w:eastAsia="仿宋_GB2312" w:cs="TimesNewRoman"/>
          <w:sz w:val="32"/>
          <w:szCs w:val="32"/>
        </w:rPr>
        <w:t>取得的财政预算资金。</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三、财政专户管理资金：</w:t>
      </w:r>
      <w:r>
        <w:rPr>
          <w:rFonts w:hint="eastAsia" w:ascii="TimesNewRoman" w:hAnsi="TimesNewRoman" w:eastAsia="仿宋_GB2312" w:cs="TimesNewRoman"/>
          <w:sz w:val="32"/>
          <w:szCs w:val="32"/>
        </w:rPr>
        <w:t>指按照非税收入管理相关规定，纳入财政专户管理的教育收费等。</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四、事业单位经营收入：</w:t>
      </w:r>
      <w:r>
        <w:rPr>
          <w:rFonts w:hint="eastAsia" w:ascii="TimesNewRoman" w:hAnsi="TimesNewRoman" w:eastAsia="仿宋_GB2312" w:cs="TimesNewRoman"/>
          <w:sz w:val="32"/>
          <w:szCs w:val="32"/>
        </w:rPr>
        <w:t>指事业单位在专业业务活动及其辅助活动之外开展非独立核算经营活动取得的收入。</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五、附属单位上缴收入：</w:t>
      </w:r>
      <w:r>
        <w:rPr>
          <w:rFonts w:hint="eastAsia" w:ascii="TimesNewRoman" w:hAnsi="TimesNewRoman" w:eastAsia="仿宋_GB2312" w:cs="TimesNewRoman"/>
          <w:sz w:val="32"/>
          <w:szCs w:val="32"/>
        </w:rPr>
        <w:t>本单位所属下级单位上缴给本单位的全部收入。</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六、上年结转：</w:t>
      </w:r>
      <w:r>
        <w:rPr>
          <w:rFonts w:hint="eastAsia" w:ascii="TimesNewRoman" w:hAnsi="TimesNewRoman" w:eastAsia="仿宋_GB2312" w:cs="TimesNewRoman"/>
          <w:sz w:val="32"/>
          <w:szCs w:val="32"/>
        </w:rPr>
        <w:t>指以前年度安排、结转到本年仍按原用途继续使用的资金。</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七、结转下年：</w:t>
      </w:r>
      <w:r>
        <w:rPr>
          <w:rFonts w:hint="eastAsia" w:ascii="TimesNewRoman" w:hAnsi="TimesNewRoman" w:eastAsia="仿宋_GB2312" w:cs="TimesNewRoman"/>
          <w:sz w:val="32"/>
          <w:szCs w:val="32"/>
        </w:rPr>
        <w:t>指以前年度预算安排、因客观条件发生变化无法按原计划实施，需以后年度按原用途继续使用的资金。</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八、基本支出：</w:t>
      </w:r>
      <w:r>
        <w:rPr>
          <w:rFonts w:hint="eastAsia" w:ascii="TimesNewRoman" w:hAnsi="TimesNewRoman" w:eastAsia="仿宋_GB2312" w:cs="TimesNewRoman"/>
          <w:sz w:val="32"/>
          <w:szCs w:val="32"/>
        </w:rPr>
        <w:t>指为保障机构正常运转、完成日常工作任务而发生的人员支出和公用支出。</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九、项目支出：</w:t>
      </w:r>
      <w:r>
        <w:rPr>
          <w:rFonts w:hint="eastAsia" w:ascii="TimesNewRoman" w:hAnsi="TimesNewRoman" w:eastAsia="仿宋_GB2312" w:cs="TimesNewRoman"/>
          <w:sz w:val="32"/>
          <w:szCs w:val="32"/>
        </w:rPr>
        <w:t>指在除基本支出之外的支出，主要用于完成特定的工作任务和事业发展目标。</w:t>
      </w:r>
    </w:p>
    <w:p>
      <w:pPr>
        <w:pStyle w:val="8"/>
        <w:adjustRightInd w:val="0"/>
        <w:snapToGrid w:val="0"/>
        <w:spacing w:line="560" w:lineRule="exact"/>
        <w:ind w:firstLine="629" w:firstLineChars="196"/>
        <w:rPr>
          <w:rFonts w:ascii="TimesNewRoman" w:hAnsi="TimesNewRoman" w:eastAsia="仿宋_GB2312" w:cs="TimesNewRoman"/>
          <w:sz w:val="32"/>
          <w:szCs w:val="32"/>
        </w:rPr>
      </w:pPr>
      <w:r>
        <w:rPr>
          <w:rFonts w:hint="eastAsia" w:ascii="TimesNewRoman" w:hAnsi="TimesNewRoman" w:eastAsia="仿宋_GB2312" w:cs="TimesNewRoman"/>
          <w:b/>
          <w:sz w:val="32"/>
          <w:szCs w:val="32"/>
        </w:rPr>
        <w:t>十、机关运行经费</w:t>
      </w:r>
      <w:r>
        <w:rPr>
          <w:rFonts w:hint="eastAsia" w:ascii="TimesNewRoman" w:hAnsi="TimesNewRoman" w:eastAsia="仿宋_GB2312" w:cs="TimesNewRoman"/>
          <w:b/>
          <w:sz w:val="32"/>
          <w:szCs w:val="32"/>
          <w:lang w:eastAsia="zh-CN"/>
        </w:rPr>
        <w:t>：</w:t>
      </w:r>
      <w:r>
        <w:rPr>
          <w:rFonts w:hint="eastAsia" w:ascii="TimesNewRoman" w:hAnsi="TimesNewRoman" w:eastAsia="仿宋_GB2312" w:cs="TimesNewRoman"/>
          <w:b/>
          <w:sz w:val="32"/>
          <w:szCs w:val="32"/>
        </w:rPr>
        <w:t xml:space="preserve">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
    <w:p/>
    <w:p/>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TimesNewRoman">
    <w:altName w:val="DejaVu Sans"/>
    <w:panose1 w:val="00000000000000000000"/>
    <w:charset w:val="00"/>
    <w:family w:val="auto"/>
    <w:pitch w:val="default"/>
    <w:sig w:usb0="00000000" w:usb1="00000000" w:usb2="00000029" w:usb3="00000000" w:csb0="600001FF" w:csb1="FFFF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68DA91"/>
    <w:multiLevelType w:val="singleLevel"/>
    <w:tmpl w:val="DB68DA9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E1NjAxZWVmMjg0M2FjNmVhMzVkM2EyOWZlNGEyYjYifQ=="/>
  </w:docVars>
  <w:rsids>
    <w:rsidRoot w:val="00E907C4"/>
    <w:rsid w:val="000E28EE"/>
    <w:rsid w:val="00267E33"/>
    <w:rsid w:val="004A4DC6"/>
    <w:rsid w:val="004C6249"/>
    <w:rsid w:val="0057562B"/>
    <w:rsid w:val="006546AF"/>
    <w:rsid w:val="00726D96"/>
    <w:rsid w:val="008F6D1A"/>
    <w:rsid w:val="009A3CA3"/>
    <w:rsid w:val="00AE3242"/>
    <w:rsid w:val="00BD640A"/>
    <w:rsid w:val="00DB2A5C"/>
    <w:rsid w:val="00E907C4"/>
    <w:rsid w:val="00EC7755"/>
    <w:rsid w:val="00F974AD"/>
    <w:rsid w:val="05935543"/>
    <w:rsid w:val="08275266"/>
    <w:rsid w:val="0B767687"/>
    <w:rsid w:val="0E260984"/>
    <w:rsid w:val="1360648C"/>
    <w:rsid w:val="17B0332A"/>
    <w:rsid w:val="19061062"/>
    <w:rsid w:val="194D7FA1"/>
    <w:rsid w:val="235B56A9"/>
    <w:rsid w:val="28444027"/>
    <w:rsid w:val="287F731F"/>
    <w:rsid w:val="28E53263"/>
    <w:rsid w:val="2FBF7029"/>
    <w:rsid w:val="2FC36F80"/>
    <w:rsid w:val="347C1074"/>
    <w:rsid w:val="380939E1"/>
    <w:rsid w:val="3BB1191E"/>
    <w:rsid w:val="40324012"/>
    <w:rsid w:val="40467E63"/>
    <w:rsid w:val="417967E7"/>
    <w:rsid w:val="454D69CF"/>
    <w:rsid w:val="45A920C8"/>
    <w:rsid w:val="477D1C51"/>
    <w:rsid w:val="48A218D7"/>
    <w:rsid w:val="52075AE6"/>
    <w:rsid w:val="59AF1FCD"/>
    <w:rsid w:val="5CBF2ABB"/>
    <w:rsid w:val="5FFFF334"/>
    <w:rsid w:val="64536303"/>
    <w:rsid w:val="66FE6CC3"/>
    <w:rsid w:val="67993295"/>
    <w:rsid w:val="68185FDE"/>
    <w:rsid w:val="69821E2D"/>
    <w:rsid w:val="6A966D64"/>
    <w:rsid w:val="6FDE579B"/>
    <w:rsid w:val="703419A7"/>
    <w:rsid w:val="71986C21"/>
    <w:rsid w:val="73E3796C"/>
    <w:rsid w:val="74FA4763"/>
    <w:rsid w:val="77E76A7E"/>
    <w:rsid w:val="7E13767C"/>
    <w:rsid w:val="FFF4C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黑体"/>
      <w:sz w:val="36"/>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spacing w:line="360" w:lineRule="auto"/>
    </w:pPr>
    <w:rPr>
      <w:rFonts w:ascii="Arial" w:hAnsi="Arial"/>
      <w:sz w:val="24"/>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4"/>
    <w:next w:val="1"/>
    <w:qFormat/>
    <w:uiPriority w:val="0"/>
    <w:pPr>
      <w:ind w:left="0" w:leftChars="0" w:firstLine="420" w:firstLineChars="200"/>
      <w:jc w:val="left"/>
    </w:pPr>
  </w:style>
  <w:style w:type="character" w:customStyle="1" w:styleId="12">
    <w:name w:val="页眉 Char"/>
    <w:basedOn w:val="11"/>
    <w:link w:val="7"/>
    <w:semiHidden/>
    <w:qFormat/>
    <w:uiPriority w:val="99"/>
    <w:rPr>
      <w:sz w:val="18"/>
      <w:szCs w:val="18"/>
    </w:rPr>
  </w:style>
  <w:style w:type="character" w:customStyle="1" w:styleId="13">
    <w:name w:val="页脚 Char"/>
    <w:basedOn w:val="11"/>
    <w:link w:val="6"/>
    <w:semiHidden/>
    <w:qFormat/>
    <w:uiPriority w:val="99"/>
    <w:rPr>
      <w:sz w:val="18"/>
      <w:szCs w:val="18"/>
    </w:rPr>
  </w:style>
  <w:style w:type="character" w:customStyle="1" w:styleId="14">
    <w:name w:val="font51"/>
    <w:basedOn w:val="11"/>
    <w:qFormat/>
    <w:uiPriority w:val="0"/>
    <w:rPr>
      <w:rFonts w:hint="default" w:ascii="Calibri" w:hAnsi="Calibri" w:eastAsia="宋体" w:cs="Calibri"/>
      <w:color w:val="000000"/>
      <w:sz w:val="21"/>
      <w:szCs w:val="21"/>
      <w:u w:val="none"/>
    </w:rPr>
  </w:style>
  <w:style w:type="character" w:customStyle="1" w:styleId="15">
    <w:name w:val="font7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983</Words>
  <Characters>5608</Characters>
  <Lines>46</Lines>
  <Paragraphs>13</Paragraphs>
  <TotalTime>0</TotalTime>
  <ScaleCrop>false</ScaleCrop>
  <LinksUpToDate>false</LinksUpToDate>
  <CharactersWithSpaces>6578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2023-01-30T09:51:00Z</dcterms:created>
  <dc:creator>lenovo</dc:creator>
  <cp:lastModifiedBy>user</cp:lastModifiedBy>
  <dcterms:modified xsi:type="dcterms:W3CDTF">2024-03-08T10:37:56Z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B61FAB99BAC3477DBA25BDB83572CF73_12</vt:lpwstr>
  </property>
</Properties>
</file>