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Cs w:val="32"/>
        </w:rPr>
      </w:pPr>
      <w:bookmarkStart w:id="0" w:name="_GoBack"/>
      <w:bookmarkEnd w:id="0"/>
      <w:r>
        <w:rPr>
          <w:rFonts w:hint="default" w:ascii="Times New Roman" w:hAnsi="Times New Roman" w:eastAsia="黑体" w:cs="Times New Roman"/>
          <w:szCs w:val="32"/>
        </w:rPr>
        <w:t>附件1-1</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淮北市</w:t>
      </w:r>
      <w:r>
        <w:rPr>
          <w:rFonts w:hint="default" w:ascii="Times New Roman" w:hAnsi="Times New Roman" w:eastAsia="华文中宋" w:cs="Times New Roman"/>
          <w:b/>
          <w:sz w:val="44"/>
          <w:szCs w:val="44"/>
          <w:lang w:eastAsia="zh-CN"/>
        </w:rPr>
        <w:t>民政局</w:t>
      </w:r>
      <w:r>
        <w:rPr>
          <w:rFonts w:hint="default" w:ascii="Times New Roman" w:hAnsi="Times New Roman" w:eastAsia="华文中宋" w:cs="Times New Roman"/>
          <w:b/>
          <w:sz w:val="44"/>
          <w:szCs w:val="44"/>
        </w:rPr>
        <w:t>2023年</w:t>
      </w:r>
      <w:r>
        <w:rPr>
          <w:rFonts w:hint="default" w:ascii="Times New Roman" w:hAnsi="Times New Roman" w:eastAsia="华文中宋" w:cs="Times New Roman"/>
          <w:b/>
          <w:sz w:val="44"/>
          <w:szCs w:val="44"/>
          <w:lang w:eastAsia="zh-CN"/>
        </w:rPr>
        <w:t>单位</w:t>
      </w:r>
      <w:r>
        <w:rPr>
          <w:rFonts w:hint="default" w:ascii="Times New Roman" w:hAnsi="Times New Roman" w:eastAsia="华文中宋" w:cs="Times New Roman"/>
          <w:b/>
          <w:sz w:val="44"/>
          <w:szCs w:val="44"/>
        </w:rPr>
        <w:t>预算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9"/>
        <w:adjustRightInd w:val="0"/>
        <w:snapToGrid w:val="0"/>
        <w:spacing w:line="560" w:lineRule="exact"/>
        <w:jc w:val="center"/>
        <w:rPr>
          <w:rFonts w:hint="default" w:ascii="Times New Roman" w:hAnsi="Times New Roman" w:eastAsia="黑体" w:cs="Times New Roman"/>
          <w:bCs/>
          <w:sz w:val="44"/>
          <w:szCs w:val="44"/>
        </w:rPr>
      </w:pPr>
    </w:p>
    <w:p>
      <w:pPr>
        <w:pStyle w:val="9"/>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2023年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pPr>
        <w:rPr>
          <w:rFonts w:hint="default" w:ascii="Times New Roman" w:hAnsi="Times New Roman" w:cs="Times New Roman"/>
        </w:rPr>
      </w:pPr>
    </w:p>
    <w:p>
      <w:pPr>
        <w:rPr>
          <w:rFonts w:hint="default" w:ascii="Times New Roman" w:hAnsi="Times New Roman" w:cs="Times New Roman"/>
        </w:rPr>
      </w:pPr>
    </w:p>
    <w:p>
      <w:pPr>
        <w:pStyle w:val="9"/>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pPr>
        <w:pStyle w:val="9"/>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第一部分 </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概况</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预算构成</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、2023年度主要工作任务</w:t>
      </w:r>
    </w:p>
    <w:p>
      <w:pPr>
        <w:pStyle w:val="9"/>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2023年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2023年收支总表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2023年收入总表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2023年支出总表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2023年财政拨款收支总表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2023年一般公共预算支出表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2023年一般公共预算基本支出表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2023年政府性基金预算支出表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2023年国有资本经营预算支出表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2023年项目支出表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2023年政府采购支出表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2023年政府购买服务支出表</w:t>
      </w:r>
    </w:p>
    <w:p>
      <w:pPr>
        <w:pStyle w:val="9"/>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2023年</w:t>
      </w:r>
      <w:r>
        <w:rPr>
          <w:rFonts w:hint="default" w:ascii="Times New Roman" w:hAnsi="Times New Roman" w:eastAsia="仿宋_GB2312" w:cs="Times New Roman"/>
          <w:b/>
          <w:sz w:val="32"/>
          <w:szCs w:val="32"/>
          <w:lang w:eastAsia="zh-CN"/>
        </w:rPr>
        <w:t>单位</w:t>
      </w:r>
      <w:r>
        <w:rPr>
          <w:rFonts w:hint="default" w:ascii="Times New Roman" w:hAnsi="Times New Roman" w:eastAsia="仿宋_GB2312" w:cs="Times New Roman"/>
          <w:b/>
          <w:sz w:val="32"/>
          <w:szCs w:val="32"/>
        </w:rPr>
        <w:t>预算情况说明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1、关于2023年收支总表的说明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2、关于2023年收入总表的说明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3、关于2023年支出总表的说明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4、关于2023年财政拨款收支总表的说明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5、关于2023年一般公共预算支出表的说明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6、关于2023年一般公共预算基本支出表的说明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7、关于2023年政府性基金预算支出表的说明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8、关于2023年国有资本经营预算支出表的说明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9、关于2023年项目支出表的说明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10、关于2023年政府采购支出表的说明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11、关于2023年政府购买服务支出表的说明</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12、其他重要事项情况说明</w:t>
      </w:r>
    </w:p>
    <w:p>
      <w:pPr>
        <w:pStyle w:val="9"/>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pPr>
        <w:pStyle w:val="9"/>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预算纳入绩效考评项目表</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bCs/>
          <w:sz w:val="32"/>
          <w:szCs w:val="32"/>
        </w:rPr>
        <w:t>2023年</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预算专项资金管理清单（专栏公开）</w:t>
      </w:r>
    </w:p>
    <w:p>
      <w:pPr>
        <w:pStyle w:val="9"/>
        <w:adjustRightInd w:val="0"/>
        <w:snapToGrid w:val="0"/>
        <w:spacing w:line="400" w:lineRule="exact"/>
        <w:ind w:firstLine="800" w:firstLineChars="250"/>
        <w:rPr>
          <w:rFonts w:hint="default" w:ascii="Times New Roman" w:hAnsi="Times New Roman" w:eastAsia="仿宋_GB2312" w:cs="Times New Roman"/>
          <w:bCs/>
          <w:sz w:val="32"/>
          <w:szCs w:val="32"/>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 xml:space="preserve">第一部分 </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概况</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根据《中共安徽省委办公厅、安徽省人民政府办公厅关于印发《淮北市机构改革方案》的通知》（厅[2019]2号）和《中共淮北市委、淮北市人民政府关于市级机构改革的实施意见》（淮发〔2019〕2号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。文件规定，淮北市民政局主要职责是：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1、贯彻执行国家民政事业发展法律法规规章和政策、规划、标准，起草有关地方性法规规章草案，拟定全市民政事业发展规划和相关政策措施并组织实施和监督检查。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2、拟定社会团体、基金会、社会服务机构等社会组织登记和监督管理政策并组织实施，依法对社会组织进行登记管理和执法监督。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3、拟定社会救助政策、标准，统筹社会救助体系建设，负责城乡居民最低生活保障、特困人员救助供养、临时救助、生活无着流浪乞讨人员救助工作。</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4、拟订城乡基层群众自治建设和社区治理政策措施；指导城乡社区治理体系和治理能力建设，提出加强和改进城乡基层政权建设的建议，推动基层民主政治建设。</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5、负责全市乡镇以上行政区划设立、撤销、命名、变更和政府驻地迁移的审核报批工作；按规定承担行政区域界线的勘定和管理工作；负责全市地名管理工作。</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6、负责全市婚姻登记管理和业务指导工作，推进婚俗改革。</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7、负责全市殡葬管理和业务指导工作，推进殡葬改革。</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8、统筹推进、督促指导、监督管理养老服务工作，拟订养老服务体系建设规划、政策、标准并组织实施，承担老年人福利和特殊困难老年人救助工作。</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9、拟订残疾人权益保护政策，统筹推进残疾人福利制度建设和康复辅助器具产业发展。</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10、拟订儿童福利、孤弃儿童保障、儿童收养、儿童救助保护政策、标准，健全农村留守儿童关爱服务体系和困境儿童保障制度，负责全市儿童收养登记和业务指导工作。</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11、组织拟订促进慈善事业发展政策，指导社会捐助工作，负责全市福利彩票管理工作。</w:t>
      </w:r>
    </w:p>
    <w:p>
      <w:p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12、拟定社会工作、志愿服务政策和标准，会同有关部门推进社会工作人才队伍建设和志愿者队伍建设，负责志愿服务行政管理工作。</w:t>
      </w:r>
    </w:p>
    <w:p>
      <w:pPr>
        <w:numPr>
          <w:ilvl w:val="0"/>
          <w:numId w:val="1"/>
        </w:numPr>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完成市委、市政府交办的其他任务。</w:t>
      </w:r>
    </w:p>
    <w:p>
      <w:pPr>
        <w:keepNext w:val="0"/>
        <w:keepLines w:val="0"/>
        <w:pageBreakBefore w:val="0"/>
        <w:numPr>
          <w:ilvl w:val="0"/>
          <w:numId w:val="1"/>
        </w:numPr>
        <w:kinsoku/>
        <w:wordWrap/>
        <w:overflowPunct/>
        <w:topLinePunct w:val="0"/>
        <w:autoSpaceDE/>
        <w:autoSpaceDN/>
        <w:bidi w:val="0"/>
        <w:snapToGrid/>
        <w:spacing w:line="360" w:lineRule="auto"/>
        <w:ind w:left="0" w:leftChars="0"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能转变。市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50" w:right="-630" w:rightChars="-300" w:firstLine="320" w:firstLineChars="1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w:t>
      </w:r>
      <w:r>
        <w:rPr>
          <w:rFonts w:hint="default" w:ascii="Times New Roman" w:hAnsi="Times New Roman" w:eastAsia="黑体" w:cs="Times New Roman"/>
          <w:bCs/>
          <w:sz w:val="32"/>
          <w:szCs w:val="32"/>
          <w:lang w:eastAsia="zh-CN"/>
        </w:rPr>
        <w:t>单位</w:t>
      </w:r>
      <w:r>
        <w:rPr>
          <w:rFonts w:hint="default" w:ascii="Times New Roman" w:hAnsi="Times New Roman" w:eastAsia="黑体" w:cs="Times New Roman"/>
          <w:bCs/>
          <w:sz w:val="32"/>
          <w:szCs w:val="32"/>
        </w:rPr>
        <w:t>预算构成</w:t>
      </w:r>
    </w:p>
    <w:p>
      <w:pPr>
        <w:pStyle w:val="9"/>
        <w:keepNext w:val="0"/>
        <w:keepLines w:val="0"/>
        <w:pageBreakBefore w:val="0"/>
        <w:widowControl/>
        <w:kinsoku/>
        <w:wordWrap/>
        <w:overflowPunct/>
        <w:topLinePunct w:val="0"/>
        <w:autoSpaceDE/>
        <w:autoSpaceDN/>
        <w:bidi w:val="0"/>
        <w:adjustRightInd w:val="0"/>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淮北市</w:t>
      </w:r>
      <w:r>
        <w:rPr>
          <w:rFonts w:hint="default" w:ascii="Times New Roman" w:hAnsi="Times New Roman" w:eastAsia="仿宋_GB2312" w:cs="Times New Roman"/>
          <w:bCs/>
          <w:sz w:val="32"/>
          <w:szCs w:val="32"/>
          <w:lang w:eastAsia="zh-CN"/>
        </w:rPr>
        <w:t>民政局</w:t>
      </w:r>
      <w:r>
        <w:rPr>
          <w:rFonts w:hint="default" w:ascii="Times New Roman" w:hAnsi="Times New Roman" w:eastAsia="仿宋_GB2312" w:cs="Times New Roman"/>
          <w:sz w:val="32"/>
          <w:szCs w:val="32"/>
        </w:rPr>
        <w:t>2023年度</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预算包括</w:t>
      </w:r>
      <w:r>
        <w:rPr>
          <w:rFonts w:hint="default" w:ascii="Times New Roman" w:hAnsi="Times New Roman" w:eastAsia="仿宋_GB2312" w:cs="Times New Roman"/>
          <w:bCs/>
          <w:kern w:val="0"/>
          <w:sz w:val="32"/>
          <w:szCs w:val="32"/>
          <w:lang w:val="en-US" w:eastAsia="zh-CN"/>
        </w:rPr>
        <w:t>民政</w:t>
      </w:r>
      <w:r>
        <w:rPr>
          <w:rFonts w:hint="default" w:ascii="Times New Roman" w:hAnsi="Times New Roman" w:eastAsia="仿宋_GB2312" w:cs="Times New Roman"/>
          <w:bCs/>
          <w:kern w:val="0"/>
          <w:sz w:val="32"/>
          <w:szCs w:val="32"/>
        </w:rPr>
        <w:t>局本级预算</w:t>
      </w:r>
      <w:r>
        <w:rPr>
          <w:rFonts w:hint="default" w:ascii="Times New Roman" w:hAnsi="Times New Roman" w:eastAsia="仿宋_GB2312" w:cs="Times New Roman"/>
          <w:sz w:val="32"/>
          <w:szCs w:val="32"/>
        </w:rPr>
        <w:t>，纳入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预算编制范围的预算单位共</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个，具体情况见下表。</w:t>
      </w:r>
    </w:p>
    <w:tbl>
      <w:tblPr>
        <w:tblStyle w:val="10"/>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sz w:val="24"/>
              </w:rPr>
            </w:pPr>
            <w:r>
              <w:rPr>
                <w:rFonts w:hint="default" w:ascii="Times New Roman" w:hAnsi="Times New Roman" w:cs="Times New Roman"/>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default" w:ascii="Times New Roman" w:hAnsi="Times New Roman" w:cs="Times New Roman" w:eastAsiaTheme="minorEastAsia"/>
                <w:sz w:val="24"/>
                <w:u w:val="single"/>
                <w:lang w:val="en" w:eastAsia="zh-CN"/>
              </w:rPr>
            </w:pPr>
            <w:r>
              <w:rPr>
                <w:rFonts w:hint="default" w:ascii="Times New Roman" w:hAnsi="Times New Roman" w:cs="Times New Roman"/>
                <w:bCs/>
                <w:sz w:val="24"/>
              </w:rPr>
              <w:t>淮北市</w:t>
            </w:r>
            <w:r>
              <w:rPr>
                <w:rFonts w:hint="default" w:ascii="Times New Roman" w:hAnsi="Times New Roman" w:cs="Times New Roman"/>
                <w:bCs/>
                <w:sz w:val="24"/>
                <w:lang w:eastAsia="zh-CN"/>
              </w:rPr>
              <w:t>民政局本级</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hint="default" w:ascii="Times New Roman" w:hAnsi="Times New Roman" w:cs="Times New Roman"/>
                <w:sz w:val="24"/>
                <w:u w:val="single"/>
              </w:rPr>
            </w:pPr>
            <w:r>
              <w:rPr>
                <w:rFonts w:hint="default" w:ascii="Times New Roman" w:hAnsi="Times New Roman" w:cs="Times New Roman"/>
                <w:bCs/>
                <w:sz w:val="24"/>
              </w:rPr>
              <w:t>行政单位</w:t>
            </w:r>
          </w:p>
        </w:tc>
      </w:tr>
    </w:tbl>
    <w:p>
      <w:pPr>
        <w:pStyle w:val="9"/>
        <w:shd w:val="clear"/>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三、2023年度主要工作任务</w:t>
      </w:r>
    </w:p>
    <w:p>
      <w:pPr>
        <w:pStyle w:val="9"/>
        <w:shd w:val="clear" w:color="auto" w:fill="FFFFFF"/>
        <w:overflowPunct w:val="0"/>
        <w:topLinePunct/>
        <w:adjustRightInd w:val="0"/>
        <w:snapToGrid w:val="0"/>
        <w:spacing w:beforeAutospacing="0" w:afterAutospacing="0" w:line="580" w:lineRule="exact"/>
        <w:ind w:firstLine="640" w:firstLineChars="200"/>
        <w:jc w:val="both"/>
        <w:rPr>
          <w:rFonts w:hint="default" w:ascii="Times New Roman" w:hAnsi="Times New Roman" w:eastAsia="仿宋_GB2312" w:cs="Times New Roman"/>
          <w:color w:val="000000" w:themeColor="text1"/>
          <w:kern w:val="2"/>
          <w:sz w:val="32"/>
          <w14:textFill>
            <w14:solidFill>
              <w14:schemeClr w14:val="tx1"/>
            </w14:solidFill>
          </w14:textFill>
        </w:rPr>
      </w:pPr>
      <w:r>
        <w:rPr>
          <w:rFonts w:hint="default" w:ascii="Times New Roman" w:hAnsi="Times New Roman" w:eastAsia="仿宋_GB2312" w:cs="Times New Roman"/>
          <w:color w:val="000000" w:themeColor="text1"/>
          <w:kern w:val="2"/>
          <w:sz w:val="32"/>
          <w14:textFill>
            <w14:solidFill>
              <w14:schemeClr w14:val="tx1"/>
            </w14:solidFill>
          </w14:textFill>
        </w:rPr>
        <w:t>2023年，市民政局将以深入学习贯彻党的二十大精神为指引，对照助力淮北高质量发展新要求，紧紧围绕市委市政府中心工作，进一步增强“慢进是退、不进更是退”的意识，坚定信心，保持奋发有</w:t>
      </w:r>
      <w:r>
        <w:rPr>
          <w:rFonts w:hint="eastAsia" w:ascii="Times New Roman" w:hAnsi="Times New Roman" w:eastAsia="仿宋_GB2312" w:cs="Times New Roman"/>
          <w:color w:val="000000" w:themeColor="text1"/>
          <w:kern w:val="2"/>
          <w:sz w:val="32"/>
          <w:lang w:eastAsia="zh-CN"/>
          <w14:textFill>
            <w14:solidFill>
              <w14:schemeClr w14:val="tx1"/>
            </w14:solidFill>
          </w14:textFill>
        </w:rPr>
        <w:t>为的</w:t>
      </w:r>
      <w:r>
        <w:rPr>
          <w:rFonts w:hint="default" w:ascii="Times New Roman" w:hAnsi="Times New Roman" w:eastAsia="仿宋_GB2312" w:cs="Times New Roman"/>
          <w:color w:val="000000" w:themeColor="text1"/>
          <w:kern w:val="2"/>
          <w:sz w:val="32"/>
          <w14:textFill>
            <w14:solidFill>
              <w14:schemeClr w14:val="tx1"/>
            </w14:solidFill>
          </w14:textFill>
        </w:rPr>
        <w:t>精神状态，以时不我待的紧迫感、只争朝夕的使命感、奋斗有我的责任感，推动党的二十大精神真正在全市民政领域落地生根、开花结果。</w:t>
      </w:r>
    </w:p>
    <w:p>
      <w:pPr>
        <w:pStyle w:val="9"/>
        <w:shd w:val="clear" w:color="auto" w:fill="FFFFFF"/>
        <w:overflowPunct w:val="0"/>
        <w:topLinePunct/>
        <w:adjustRightInd w:val="0"/>
        <w:snapToGrid w:val="0"/>
        <w:spacing w:beforeAutospacing="0" w:afterAutospacing="0" w:line="580" w:lineRule="exact"/>
        <w:ind w:firstLine="643" w:firstLineChars="200"/>
        <w:jc w:val="both"/>
        <w:rPr>
          <w:rFonts w:hint="default" w:ascii="Times New Roman" w:hAnsi="Times New Roman" w:eastAsia="仿宋_GB2312" w:cs="Times New Roman"/>
          <w:color w:val="000000" w:themeColor="text1"/>
          <w:kern w:val="2"/>
          <w:sz w:val="32"/>
          <w14:textFill>
            <w14:solidFill>
              <w14:schemeClr w14:val="tx1"/>
            </w14:solidFill>
          </w14:textFill>
        </w:rPr>
      </w:pPr>
      <w:r>
        <w:rPr>
          <w:rFonts w:hint="default" w:ascii="Times New Roman" w:hAnsi="Times New Roman" w:eastAsia="楷体_GB2312" w:cs="Times New Roman"/>
          <w:b/>
          <w:bCs/>
          <w:color w:val="000000" w:themeColor="text1"/>
          <w:kern w:val="2"/>
          <w:sz w:val="32"/>
          <w14:textFill>
            <w14:solidFill>
              <w14:schemeClr w14:val="tx1"/>
            </w14:solidFill>
          </w14:textFill>
        </w:rPr>
        <w:t>一是深入学习贯彻党的二十大精神。</w:t>
      </w:r>
      <w:r>
        <w:rPr>
          <w:rFonts w:hint="default" w:ascii="Times New Roman" w:hAnsi="Times New Roman" w:eastAsia="仿宋_GB2312" w:cs="Times New Roman"/>
          <w:color w:val="000000" w:themeColor="text1"/>
          <w:kern w:val="2"/>
          <w:sz w:val="32"/>
          <w14:textFill>
            <w14:solidFill>
              <w14:schemeClr w14:val="tx1"/>
            </w14:solidFill>
          </w14:textFill>
        </w:rPr>
        <w:t>把深入学习宣传贯彻党的二十大精神，作为当前和今后一个时期的首要政治任务，在全市民政系统迅速掀起大学习大宣传大贯彻的热潮，在全面学习、全面把握、全面落实上下功夫，切实把学习宣传贯彻工作抓紧抓好、抓出成效。把学习教育成果转化为“民政为民、民政爱民”的高质量服务，推进“我为群众办实事”实践活动走深走实。</w:t>
      </w:r>
    </w:p>
    <w:p>
      <w:pPr>
        <w:shd w:val="clear" w:color="auto" w:fill="FFFFFF"/>
        <w:overflowPunct w:val="0"/>
        <w:topLinePunct/>
        <w:adjustRightInd w:val="0"/>
        <w:snapToGrid w:val="0"/>
        <w:spacing w:line="580" w:lineRule="exact"/>
        <w:ind w:firstLine="643" w:firstLineChars="200"/>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24"/>
          <w:lang w:val="en-US" w:eastAsia="zh-CN" w:bidi="ar-SA"/>
          <w14:textFill>
            <w14:solidFill>
              <w14:schemeClr w14:val="tx1"/>
            </w14:solidFill>
          </w14:textFill>
        </w:rPr>
        <w:t>二是进一步完善多层次社会救助体系。</w:t>
      </w:r>
      <w:r>
        <w:rPr>
          <w:rFonts w:hint="default" w:ascii="Times New Roman" w:hAnsi="Times New Roman" w:eastAsia="仿宋_GB2312" w:cs="Times New Roman"/>
          <w:color w:val="000000" w:themeColor="text1"/>
          <w:kern w:val="2"/>
          <w:sz w:val="32"/>
          <w:szCs w:val="24"/>
          <w:lang w:val="en-US" w:eastAsia="zh-CN" w:bidi="ar-SA"/>
          <w14:textFill>
            <w14:solidFill>
              <w14:schemeClr w14:val="tx1"/>
            </w14:solidFill>
          </w14:textFill>
        </w:rPr>
        <w:t>贯彻落实《淮北市改革完善社会救助制度重点举措》，统筹发展社会救助体系，巩固脱贫攻坚成果，切实兜住兜牢基本民生保障底线。落实好我市最低生活保障和特困供养人员提标。充分应用省、市居民家庭经济核对平台、智慧民政等信息平台定期对困难群众进行信息比对，加强农村低收入人口监测预警，建立常态化帮扶机制，编密织牢基本民生兜底保障网。进一步完善政府购买社会救助服务政策措施，拓展资金渠道，完善项目监督检查和绩效评价管理，鼓励市场力量和市场主体参与社会救助，扩大社会救助服务供给和服务水平，提高困难群众的满意度、幸福感、获得感。</w:t>
      </w:r>
    </w:p>
    <w:p>
      <w:pPr>
        <w:pStyle w:val="12"/>
        <w:overflowPunct w:val="0"/>
        <w:topLinePunct/>
        <w:autoSpaceDE/>
        <w:autoSpaceDN/>
        <w:adjustRightInd w:val="0"/>
        <w:snapToGrid w:val="0"/>
        <w:spacing w:line="556" w:lineRule="exact"/>
        <w:ind w:firstLine="643" w:firstLineChars="200"/>
        <w:rPr>
          <w:rFonts w:hint="default" w:ascii="Times New Roman" w:hAnsi="Times New Roman" w:eastAsia="仿宋_GB2312" w:cs="Times New Roman"/>
          <w:bCs/>
          <w:color w:val="000000" w:themeColor="text1"/>
          <w:spacing w:val="0"/>
          <w14:textFill>
            <w14:solidFill>
              <w14:schemeClr w14:val="tx1"/>
            </w14:solidFill>
          </w14:textFill>
        </w:rPr>
      </w:pPr>
      <w:r>
        <w:rPr>
          <w:rFonts w:hint="default" w:ascii="Times New Roman" w:hAnsi="Times New Roman" w:eastAsia="楷体_GB2312" w:cs="Times New Roman"/>
          <w:b/>
          <w:bCs/>
          <w:color w:val="000000" w:themeColor="text1"/>
          <w:spacing w:val="0"/>
          <w:kern w:val="2"/>
          <w:sz w:val="32"/>
          <w:szCs w:val="24"/>
          <w:lang w:val="en-US" w:eastAsia="zh-CN" w:bidi="ar-SA"/>
          <w14:textFill>
            <w14:solidFill>
              <w14:schemeClr w14:val="tx1"/>
            </w14:solidFill>
          </w14:textFill>
        </w:rPr>
        <w:t>三是进一步提升基本养老服务供给。</w:t>
      </w:r>
      <w:r>
        <w:rPr>
          <w:rFonts w:hint="default" w:ascii="Times New Roman" w:hAnsi="Times New Roman" w:eastAsia="仿宋_GB2312" w:cs="Times New Roman"/>
          <w:color w:val="000000" w:themeColor="text1"/>
          <w:spacing w:val="0"/>
          <w:kern w:val="2"/>
          <w:sz w:val="32"/>
          <w:szCs w:val="24"/>
          <w:lang w:val="en-US" w:eastAsia="zh-CN" w:bidi="ar-SA"/>
          <w14:textFill>
            <w14:solidFill>
              <w14:schemeClr w14:val="tx1"/>
            </w14:solidFill>
          </w14:textFill>
        </w:rPr>
        <w:t>实施居家适老化改造，截至2023年底累计实施不低于1500户。拓展社区养老服务，整合利用存量资源发展社区嵌入式养老，推动专业机构服务向社区延伸。发挥养老服务从业人才培训（实训）基地作用，2023年底前完成3000人次养老护理员、1000人次养老服务其他从业人员培训任务。开展老年助餐暖民心行动，2023年继续建成80家老年食堂（老年助餐点）。推进特困供养机构改造升级，到2023年底，生活不能自理特困人员集中供养率不低于60%。发挥公办养老机构兜底保障作用，2023年底，全市公办养老机构（含农村敬老院）入住率达到50%以上。继续推进村级养老服务站（幸福院）建设，完善服务功能，2023年底前覆盖率超过40%。2023年底前，全市养老机构护理型床位比例不低于55%。建立健全老年人能力综合评估制度，制定以老年人身体能力状况为核心指标的老年人综合能力评估标准。培育专业评估组织，施行《老年人能力评估师》国家职业技能标准，2023年底前，培育不少于2家以上的综合评估组织。</w:t>
      </w:r>
    </w:p>
    <w:p>
      <w:pPr>
        <w:overflowPunct w:val="0"/>
        <w:topLinePunct/>
        <w:adjustRightInd w:val="0"/>
        <w:snapToGrid w:val="0"/>
        <w:spacing w:line="556" w:lineRule="exact"/>
        <w:ind w:firstLine="643" w:firstLineChars="200"/>
        <w:rPr>
          <w:rFonts w:hint="default" w:ascii="Times New Roman" w:hAnsi="Times New Roman" w:eastAsia="仿宋_GB2312" w:cs="Times New Roman"/>
          <w:color w:val="000000" w:themeColor="text1"/>
          <w:spacing w:val="0"/>
          <w:kern w:val="2"/>
          <w:sz w:val="32"/>
          <w:szCs w:val="24"/>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spacing w:val="0"/>
          <w:kern w:val="2"/>
          <w:sz w:val="32"/>
          <w:szCs w:val="24"/>
          <w:lang w:val="en-US" w:eastAsia="zh-CN" w:bidi="ar-SA"/>
          <w14:textFill>
            <w14:solidFill>
              <w14:schemeClr w14:val="tx1"/>
            </w14:solidFill>
          </w14:textFill>
        </w:rPr>
        <w:t>四是进一步强化基层社会治理能力。</w:t>
      </w:r>
      <w:r>
        <w:rPr>
          <w:rFonts w:hint="default" w:ascii="Times New Roman" w:hAnsi="Times New Roman" w:eastAsia="仿宋_GB2312" w:cs="Times New Roman"/>
          <w:color w:val="000000" w:themeColor="text1"/>
          <w:spacing w:val="0"/>
          <w:kern w:val="2"/>
          <w:sz w:val="32"/>
          <w:szCs w:val="24"/>
          <w:lang w:val="en-US" w:eastAsia="zh-CN" w:bidi="ar-SA"/>
          <w14:textFill>
            <w14:solidFill>
              <w14:schemeClr w14:val="tx1"/>
            </w14:solidFill>
          </w14:textFill>
        </w:rPr>
        <w:t>加强村民委员会规范化建设，充分保障村民的知情权和监督权，修订完善村务公开目录，扎实做好村务公开标准化建设试点工作。抓好《村（社区）依法履职事项指导清单》等四个清单的贯彻落实，完善社区工作事项准入制度。开展最美城乡社区工作者和优秀社区工作法评选、学习宣传工作和“新时代新社区新生活”服务质量提升活动，推进社区服务提质增效。深入推动社区社会组织在提供社区服务、扩大居民参与、培育社区文化、促进社区和谐等方面发挥积极作用。推动善行淮北行动落地落实。加强我市社会工作站建设政策创制，加大对乡镇（街道）社会工作人才培养力度，做好社工站服务人才保障。深化志愿服务实践。宣传贯彻好《安徽省志愿服务条例》，推广使用全国志愿服务信息系统。</w:t>
      </w:r>
    </w:p>
    <w:p>
      <w:pPr>
        <w:pStyle w:val="9"/>
        <w:shd w:val="clear" w:color="auto" w:fill="FFFFFF"/>
        <w:overflowPunct w:val="0"/>
        <w:topLinePunct/>
        <w:adjustRightInd w:val="0"/>
        <w:snapToGrid w:val="0"/>
        <w:spacing w:beforeAutospacing="0" w:afterAutospacing="0" w:line="556" w:lineRule="exact"/>
        <w:ind w:firstLine="643" w:firstLineChars="200"/>
        <w:jc w:val="both"/>
        <w:rPr>
          <w:rFonts w:hint="default" w:ascii="Times New Roman" w:hAnsi="Times New Roman" w:eastAsia="仿宋_GB2312" w:cs="Times New Roman"/>
          <w:bCs/>
          <w:color w:val="000000" w:themeColor="text1"/>
          <w:sz w:val="32"/>
          <w14:textFill>
            <w14:solidFill>
              <w14:schemeClr w14:val="tx1"/>
            </w14:solidFill>
          </w14:textFill>
        </w:rPr>
      </w:pPr>
      <w:r>
        <w:rPr>
          <w:rFonts w:hint="default" w:ascii="Times New Roman" w:hAnsi="Times New Roman" w:eastAsia="楷体_GB2312" w:cs="Times New Roman"/>
          <w:b/>
          <w:bCs/>
          <w:color w:val="000000" w:themeColor="text1"/>
          <w:kern w:val="2"/>
          <w:sz w:val="32"/>
          <w14:textFill>
            <w14:solidFill>
              <w14:schemeClr w14:val="tx1"/>
            </w14:solidFill>
          </w14:textFill>
        </w:rPr>
        <w:t>五是进一步发展专项社会事务工作。</w:t>
      </w:r>
      <w:r>
        <w:rPr>
          <w:rFonts w:hint="default" w:ascii="Times New Roman" w:hAnsi="Times New Roman" w:eastAsia="仿宋_GB2312" w:cs="Times New Roman"/>
          <w:color w:val="000000" w:themeColor="text1"/>
          <w:sz w:val="32"/>
          <w14:textFill>
            <w14:solidFill>
              <w14:schemeClr w14:val="tx1"/>
            </w14:solidFill>
          </w14:textFill>
        </w:rPr>
        <w:t>进一步落实农村留守儿童、孤儿、事实无人抚养儿童“牵手行动”。大力推进镇（街道）未成年人保护工作站建设，2023年，拟申报全国优秀未成年人保护工作站示范点。推动区域性儿童福利机构优化提质，推动非区域儿童福利机构转型升级，不断拓展机构服务能力和服务范围。落实孤儿基本生活保障标准动态调整机制，不断提高保障水平。</w:t>
      </w:r>
      <w:r>
        <w:rPr>
          <w:rFonts w:hint="default" w:ascii="Times New Roman" w:hAnsi="Times New Roman" w:eastAsia="仿宋_GB2312" w:cs="Times New Roman"/>
          <w:bCs/>
          <w:color w:val="000000" w:themeColor="text1"/>
          <w:sz w:val="32"/>
          <w14:textFill>
            <w14:solidFill>
              <w14:schemeClr w14:val="tx1"/>
            </w14:solidFill>
          </w14:textFill>
        </w:rPr>
        <w:t>不断健全</w:t>
      </w:r>
      <w:r>
        <w:rPr>
          <w:rFonts w:hint="default" w:ascii="Times New Roman" w:hAnsi="Times New Roman" w:eastAsia="仿宋_GB2312" w:cs="Times New Roman"/>
          <w:color w:val="000000" w:themeColor="text1"/>
          <w:sz w:val="32"/>
          <w14:textFill>
            <w14:solidFill>
              <w14:schemeClr w14:val="tx1"/>
            </w14:solidFill>
          </w14:textFill>
        </w:rPr>
        <w:t>四级联动救助机制，落实流浪乞讨人员发现报告制度。持续开展“寒冬送温暖”“夏季送清凉”专项行动，加大“互联网+救助寻亲”工作力度。扎实推进殡葬改革。以濉溪县五沟镇“小田变大田”殡葬改革为示范点，积极探索淮北市农村公益性公墓建设新方式。深入开展殡葬移风易俗。</w:t>
      </w:r>
      <w:r>
        <w:rPr>
          <w:rFonts w:hint="default" w:ascii="Times New Roman" w:hAnsi="Times New Roman" w:eastAsia="仿宋_GB2312" w:cs="Times New Roman"/>
          <w:bCs/>
          <w:color w:val="000000" w:themeColor="text1"/>
          <w:sz w:val="32"/>
          <w14:textFill>
            <w14:solidFill>
              <w14:schemeClr w14:val="tx1"/>
            </w14:solidFill>
          </w14:textFill>
        </w:rPr>
        <w:t>推进开展涉外婚姻登记工作。努力提升婚姻登记水平。进一步完善婚姻登记“市内通办”制度。着力打造精神障碍社区康复服务站点建设，统筹规划社区康复站建设。</w:t>
      </w:r>
    </w:p>
    <w:p>
      <w:pPr>
        <w:pStyle w:val="9"/>
        <w:shd w:val="clear"/>
        <w:adjustRightInd w:val="0"/>
        <w:snapToGrid w:val="0"/>
        <w:spacing w:line="560" w:lineRule="exact"/>
        <w:ind w:firstLine="630" w:firstLineChars="196"/>
        <w:rPr>
          <w:rFonts w:hint="default" w:ascii="Times New Roman" w:hAnsi="Times New Roman" w:eastAsia="黑体" w:cs="Times New Roman"/>
          <w:bCs/>
          <w:sz w:val="32"/>
          <w:szCs w:val="32"/>
        </w:rPr>
      </w:pPr>
      <w:r>
        <w:rPr>
          <w:rFonts w:hint="default" w:ascii="Times New Roman" w:hAnsi="Times New Roman" w:eastAsia="楷体_GB2312" w:cs="Times New Roman"/>
          <w:b/>
          <w:bCs/>
          <w:color w:val="000000" w:themeColor="text1"/>
          <w:spacing w:val="0"/>
          <w:kern w:val="2"/>
          <w:sz w:val="32"/>
          <w:szCs w:val="24"/>
          <w:lang w:val="en-US" w:eastAsia="zh-CN" w:bidi="ar-SA"/>
          <w14:textFill>
            <w14:solidFill>
              <w14:schemeClr w14:val="tx1"/>
            </w14:solidFill>
          </w14:textFill>
        </w:rPr>
        <w:t>六是进一步提升干部队伍作风。</w:t>
      </w:r>
      <w:r>
        <w:rPr>
          <w:rFonts w:hint="default" w:ascii="Times New Roman" w:hAnsi="Times New Roman" w:eastAsia="仿宋_GB2312" w:cs="Times New Roman"/>
          <w:color w:val="000000" w:themeColor="text1"/>
          <w:spacing w:val="0"/>
          <w:kern w:val="2"/>
          <w:sz w:val="32"/>
          <w:szCs w:val="24"/>
          <w:lang w:val="en-US" w:eastAsia="zh-CN" w:bidi="ar-SA"/>
          <w14:textFill>
            <w14:solidFill>
              <w14:schemeClr w14:val="tx1"/>
            </w14:solidFill>
          </w14:textFill>
        </w:rPr>
        <w:t>持续深化“找、改、强、争”专项行动，巩固成果，致力不断加强自身能力建设，引导党员干部树立正确的权力观、地位观、利益观，始终绷紧廉洁自律这根弦，牢固确立起为民掌好权、用好权的思想意识，进一步打造</w:t>
      </w:r>
      <w:r>
        <w:rPr>
          <w:rFonts w:hint="eastAsia" w:ascii="Times New Roman" w:hAnsi="Times New Roman" w:eastAsia="仿宋_GB2312" w:cs="Times New Roman"/>
          <w:color w:val="000000" w:themeColor="text1"/>
          <w:spacing w:val="0"/>
          <w:kern w:val="2"/>
          <w:sz w:val="32"/>
          <w:szCs w:val="24"/>
          <w:lang w:val="en-US" w:eastAsia="zh-CN" w:bidi="ar-SA"/>
          <w14:textFill>
            <w14:solidFill>
              <w14:schemeClr w14:val="tx1"/>
            </w14:solidFill>
          </w14:textFill>
        </w:rPr>
        <w:t>一支</w:t>
      </w:r>
      <w:r>
        <w:rPr>
          <w:rFonts w:hint="default" w:ascii="Times New Roman" w:hAnsi="Times New Roman" w:eastAsia="仿宋_GB2312" w:cs="Times New Roman"/>
          <w:color w:val="000000" w:themeColor="text1"/>
          <w:spacing w:val="0"/>
          <w:kern w:val="2"/>
          <w:sz w:val="32"/>
          <w:szCs w:val="24"/>
          <w:lang w:val="en-US" w:eastAsia="zh-CN" w:bidi="ar-SA"/>
          <w14:textFill>
            <w14:solidFill>
              <w14:schemeClr w14:val="tx1"/>
            </w14:solidFill>
          </w14:textFill>
        </w:rPr>
        <w:t>顾大局、守纪律、敢担当、善作为、争先进的淮北民政干部新形象。</w:t>
      </w:r>
    </w:p>
    <w:p>
      <w:pPr>
        <w:shd w:val="clear"/>
        <w:rPr>
          <w:rFonts w:hint="default" w:ascii="Times New Roman" w:hAnsi="Times New Roman" w:cs="Times New Roman"/>
        </w:rPr>
      </w:pPr>
    </w:p>
    <w:p>
      <w:pPr>
        <w:pStyle w:val="9"/>
        <w:shd w:val="clear"/>
        <w:adjustRightInd w:val="0"/>
        <w:snapToGrid w:val="0"/>
        <w:spacing w:before="0" w:beforeAutospacing="0" w:after="0" w:afterAutospacing="0" w:line="60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2023年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pPr>
        <w:pStyle w:val="9"/>
        <w:adjustRightInd w:val="0"/>
        <w:snapToGrid w:val="0"/>
        <w:spacing w:before="0" w:beforeAutospacing="0" w:after="0" w:afterAutospacing="0" w:line="600" w:lineRule="exact"/>
        <w:jc w:val="center"/>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见附件1-2</w:t>
      </w:r>
      <w:r>
        <w:rPr>
          <w:rFonts w:hint="default" w:ascii="Times New Roman" w:hAnsi="Times New Roman" w:eastAsia="仿宋_GB2312" w:cs="Times New Roman"/>
          <w:kern w:val="2"/>
          <w:sz w:val="32"/>
          <w:szCs w:val="32"/>
          <w:lang w:val="en-US" w:eastAsia="zh-CN"/>
        </w:rPr>
        <w:t xml:space="preserve"> 2023年单位预算公开表</w:t>
      </w:r>
    </w:p>
    <w:p>
      <w:pPr>
        <w:rPr>
          <w:rFonts w:hint="default" w:ascii="Times New Roman" w:hAnsi="Times New Roman" w:cs="Times New Roman"/>
        </w:rPr>
      </w:pPr>
      <w:r>
        <w:rPr>
          <w:rFonts w:hint="default" w:ascii="Times New Roman" w:hAnsi="Times New Roman" w:cs="Times New Roman"/>
        </w:rPr>
        <w:t xml:space="preserve">                                        </w:t>
      </w:r>
    </w:p>
    <w:p>
      <w:pPr>
        <w:pStyle w:val="9"/>
        <w:adjustRightInd w:val="0"/>
        <w:snapToGrid w:val="0"/>
        <w:spacing w:before="0" w:beforeAutospacing="0" w:after="0" w:afterAutospacing="0" w:line="60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2023年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pPr>
        <w:rPr>
          <w:rFonts w:hint="default" w:ascii="Times New Roman" w:hAnsi="Times New Roman" w:cs="Times New Roman"/>
        </w:rPr>
      </w:pPr>
    </w:p>
    <w:p>
      <w:pPr>
        <w:pStyle w:val="9"/>
        <w:adjustRightInd w:val="0"/>
        <w:snapToGrid w:val="0"/>
        <w:spacing w:before="0" w:beforeAutospacing="0" w:after="0" w:afterAutospacing="0" w:line="60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一、关于2023年收支总表的说明</w:t>
      </w:r>
    </w:p>
    <w:p>
      <w:pPr>
        <w:pStyle w:val="9"/>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按照综合预算的原则，淮北市</w:t>
      </w:r>
      <w:r>
        <w:rPr>
          <w:rFonts w:hint="default" w:ascii="Times New Roman" w:hAnsi="Times New Roman" w:eastAsia="仿宋_GB2312" w:cs="Times New Roman"/>
          <w:sz w:val="32"/>
          <w:szCs w:val="32"/>
          <w:lang w:eastAsia="zh-CN"/>
        </w:rPr>
        <w:t>民政局</w:t>
      </w:r>
      <w:r>
        <w:rPr>
          <w:rFonts w:hint="default" w:ascii="Times New Roman" w:hAnsi="Times New Roman" w:eastAsia="仿宋_GB2312" w:cs="Times New Roman"/>
          <w:sz w:val="32"/>
          <w:szCs w:val="32"/>
        </w:rPr>
        <w:t>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预算管理。淮北市</w:t>
      </w:r>
      <w:r>
        <w:rPr>
          <w:rFonts w:hint="default" w:ascii="Times New Roman" w:hAnsi="Times New Roman" w:eastAsia="仿宋_GB2312" w:cs="Times New Roman"/>
          <w:sz w:val="32"/>
          <w:szCs w:val="32"/>
          <w:lang w:eastAsia="zh-CN"/>
        </w:rPr>
        <w:t>民政局</w:t>
      </w:r>
      <w:r>
        <w:rPr>
          <w:rFonts w:hint="default" w:ascii="Times New Roman" w:hAnsi="Times New Roman" w:eastAsia="仿宋_GB2312" w:cs="Times New Roman"/>
          <w:sz w:val="32"/>
          <w:szCs w:val="32"/>
        </w:rPr>
        <w:t>2023年收支总预算</w:t>
      </w:r>
      <w:r>
        <w:rPr>
          <w:rFonts w:hint="default" w:ascii="Times New Roman" w:hAnsi="Times New Roman" w:eastAsia="仿宋_GB2312" w:cs="Times New Roman"/>
          <w:sz w:val="32"/>
          <w:szCs w:val="32"/>
          <w:lang w:val="en-US" w:eastAsia="zh-CN"/>
        </w:rPr>
        <w:t>2840.39</w:t>
      </w:r>
      <w:r>
        <w:rPr>
          <w:rFonts w:hint="default" w:ascii="Times New Roman" w:hAnsi="Times New Roman" w:eastAsia="仿宋_GB2312" w:cs="Times New Roman"/>
          <w:sz w:val="32"/>
          <w:szCs w:val="32"/>
        </w:rPr>
        <w:t>万元，收入包括一般公共预算拨款收入</w:t>
      </w:r>
      <w:r>
        <w:rPr>
          <w:rFonts w:hint="default" w:ascii="Times New Roman" w:hAnsi="Times New Roman" w:eastAsia="仿宋_GB2312" w:cs="Times New Roman"/>
          <w:sz w:val="32"/>
          <w:szCs w:val="32"/>
          <w:lang w:val="en-US" w:eastAsia="zh-CN"/>
        </w:rPr>
        <w:t>2305.39万元</w:t>
      </w:r>
      <w:r>
        <w:rPr>
          <w:rFonts w:hint="default" w:ascii="Times New Roman" w:hAnsi="Times New Roman" w:eastAsia="仿宋_GB2312" w:cs="Times New Roman"/>
          <w:sz w:val="32"/>
          <w:szCs w:val="32"/>
        </w:rPr>
        <w:t>、政府性基金预算拨款收入</w:t>
      </w:r>
      <w:r>
        <w:rPr>
          <w:rFonts w:hint="default" w:ascii="Times New Roman" w:hAnsi="Times New Roman" w:eastAsia="仿宋_GB2312" w:cs="Times New Roman"/>
          <w:sz w:val="32"/>
          <w:szCs w:val="32"/>
          <w:lang w:val="en-US" w:eastAsia="zh-CN"/>
        </w:rPr>
        <w:t>535万元</w:t>
      </w:r>
      <w:r>
        <w:rPr>
          <w:rFonts w:hint="default" w:ascii="Times New Roman" w:hAnsi="Times New Roman" w:eastAsia="仿宋_GB2312" w:cs="Times New Roman"/>
          <w:sz w:val="32"/>
          <w:szCs w:val="32"/>
        </w:rPr>
        <w:t>，支出包括：社会保障和就业支出</w:t>
      </w:r>
      <w:r>
        <w:rPr>
          <w:rFonts w:hint="default" w:ascii="Times New Roman" w:hAnsi="Times New Roman" w:eastAsia="仿宋_GB2312" w:cs="Times New Roman"/>
          <w:sz w:val="32"/>
          <w:szCs w:val="32"/>
          <w:lang w:val="en-US" w:eastAsia="zh-CN"/>
        </w:rPr>
        <w:t>2233.86万元</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19.43万元</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52.09万元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lang w:val="en-US" w:eastAsia="zh-CN"/>
        </w:rPr>
        <w:t>535万元。</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w:t>
      </w:r>
      <w:r>
        <w:rPr>
          <w:rFonts w:hint="default" w:ascii="Times New Roman" w:hAnsi="Times New Roman" w:eastAsia="黑体" w:cs="Times New Roman"/>
          <w:color w:val="000000"/>
          <w:sz w:val="32"/>
          <w:szCs w:val="32"/>
        </w:rPr>
        <w:t>于2023年收入总表的说</w:t>
      </w:r>
      <w:r>
        <w:rPr>
          <w:rFonts w:hint="default" w:ascii="Times New Roman" w:hAnsi="Times New Roman" w:eastAsia="黑体" w:cs="Times New Roman"/>
          <w:bCs/>
          <w:sz w:val="32"/>
          <w:szCs w:val="32"/>
        </w:rPr>
        <w:t>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lang w:val="en-US" w:eastAsia="zh-CN" w:bidi="ar-SA"/>
        </w:rPr>
        <w:t>2023年</w:t>
      </w:r>
      <w:r>
        <w:rPr>
          <w:rFonts w:hint="default" w:ascii="Times New Roman" w:hAnsi="Times New Roman" w:eastAsia="仿宋_GB2312" w:cs="Times New Roman"/>
          <w:kern w:val="0"/>
          <w:sz w:val="32"/>
          <w:szCs w:val="32"/>
        </w:rPr>
        <w:t>收入预算</w:t>
      </w:r>
      <w:r>
        <w:rPr>
          <w:rFonts w:hint="default" w:ascii="Times New Roman" w:hAnsi="Times New Roman" w:eastAsia="仿宋_GB2312" w:cs="Times New Roman"/>
          <w:sz w:val="32"/>
          <w:szCs w:val="32"/>
          <w:lang w:val="en-US" w:eastAsia="zh-CN"/>
        </w:rPr>
        <w:t>2840.39</w:t>
      </w:r>
      <w:r>
        <w:rPr>
          <w:rFonts w:hint="default" w:ascii="Times New Roman" w:hAnsi="Times New Roman" w:eastAsia="仿宋_GB2312" w:cs="Times New Roman"/>
          <w:kern w:val="0"/>
          <w:sz w:val="32"/>
          <w:szCs w:val="32"/>
        </w:rPr>
        <w:t>万元，其中，本年收入</w:t>
      </w:r>
      <w:r>
        <w:rPr>
          <w:rFonts w:hint="default" w:ascii="Times New Roman" w:hAnsi="Times New Roman" w:eastAsia="仿宋_GB2312" w:cs="Times New Roman"/>
          <w:sz w:val="32"/>
          <w:szCs w:val="32"/>
          <w:lang w:val="en-US" w:eastAsia="zh-CN"/>
        </w:rPr>
        <w:t>2840.39</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w:t>
      </w:r>
      <w:r>
        <w:rPr>
          <w:rFonts w:hint="default" w:ascii="Times New Roman" w:hAnsi="Times New Roman" w:eastAsia="CESI仿宋-GB2312" w:cs="Times New Roman"/>
          <w:b/>
          <w:kern w:val="0"/>
          <w:sz w:val="32"/>
          <w:szCs w:val="32"/>
          <w:lang w:val="en-US" w:eastAsia="zh-CN"/>
        </w:rPr>
        <w:t>2840.39</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主要包括：一般公共预算拨款收入</w:t>
      </w:r>
      <w:r>
        <w:rPr>
          <w:rFonts w:hint="default" w:ascii="Times New Roman" w:hAnsi="Times New Roman" w:eastAsia="仿宋_GB2312" w:cs="Times New Roman"/>
          <w:sz w:val="32"/>
          <w:szCs w:val="32"/>
          <w:lang w:val="en-US" w:eastAsia="zh-CN"/>
        </w:rPr>
        <w:t>2305.39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81.16</w:t>
      </w:r>
      <w:r>
        <w:rPr>
          <w:rFonts w:hint="default" w:ascii="Times New Roman" w:hAnsi="Times New Roman" w:eastAsia="仿宋_GB2312" w:cs="Times New Roman"/>
          <w:kern w:val="0"/>
          <w:sz w:val="32"/>
          <w:szCs w:val="32"/>
        </w:rPr>
        <w:t>%，比2022年预算增加</w:t>
      </w:r>
      <w:r>
        <w:rPr>
          <w:rFonts w:hint="default" w:ascii="Times New Roman" w:hAnsi="Times New Roman" w:eastAsia="仿宋_GB2312" w:cs="Times New Roman"/>
          <w:kern w:val="0"/>
          <w:sz w:val="32"/>
          <w:szCs w:val="32"/>
          <w:lang w:val="en-US" w:eastAsia="zh-CN"/>
        </w:rPr>
        <w:t>795.60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52.70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增加项目安排</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535</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18.84</w:t>
      </w:r>
      <w:r>
        <w:rPr>
          <w:rFonts w:hint="default" w:ascii="Times New Roman" w:hAnsi="Times New Roman" w:eastAsia="仿宋_GB2312" w:cs="Times New Roman"/>
          <w:kern w:val="0"/>
          <w:sz w:val="32"/>
          <w:szCs w:val="32"/>
        </w:rPr>
        <w:t>%，比2022年预算减少</w:t>
      </w:r>
      <w:r>
        <w:rPr>
          <w:rFonts w:hint="default" w:ascii="Times New Roman" w:hAnsi="Times New Roman" w:eastAsia="仿宋_GB2312" w:cs="Times New Roman"/>
          <w:kern w:val="0"/>
          <w:sz w:val="32"/>
          <w:szCs w:val="32"/>
          <w:lang w:val="en-US" w:eastAsia="zh-CN"/>
        </w:rPr>
        <w:t>417.8</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43.85</w:t>
      </w:r>
      <w:r>
        <w:rPr>
          <w:rFonts w:hint="default" w:ascii="Times New Roman" w:hAnsi="Times New Roman" w:eastAsia="仿宋_GB2312" w:cs="Times New Roman"/>
          <w:kern w:val="0"/>
          <w:sz w:val="32"/>
          <w:szCs w:val="32"/>
        </w:rPr>
        <w:t>%，原因主要</w:t>
      </w:r>
      <w:r>
        <w:rPr>
          <w:rFonts w:hint="default" w:ascii="Times New Roman" w:hAnsi="Times New Roman" w:eastAsia="仿宋_GB2312" w:cs="Times New Roman"/>
          <w:kern w:val="0"/>
          <w:sz w:val="32"/>
          <w:szCs w:val="32"/>
          <w:lang w:eastAsia="zh-CN"/>
        </w:rPr>
        <w:t>是部分项目拨款由政府性基金变为一般公共预算拨款</w:t>
      </w:r>
      <w:r>
        <w:rPr>
          <w:rFonts w:hint="default" w:ascii="Times New Roman" w:hAnsi="Times New Roman" w:eastAsia="仿宋_GB2312" w:cs="Times New Roman"/>
          <w:kern w:val="0"/>
          <w:sz w:val="32"/>
          <w:szCs w:val="32"/>
        </w:rPr>
        <w:t>。</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三、关于2023年支出总表的说明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2023年支出预算</w:t>
      </w:r>
      <w:r>
        <w:rPr>
          <w:rFonts w:hint="default" w:ascii="Times New Roman" w:hAnsi="Times New Roman" w:eastAsia="仿宋_GB2312" w:cs="Times New Roman"/>
          <w:kern w:val="0"/>
          <w:sz w:val="32"/>
          <w:szCs w:val="32"/>
          <w:lang w:val="en-US" w:eastAsia="zh-CN"/>
        </w:rPr>
        <w:t>2840.39</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377.80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15.34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增加项目安排</w:t>
      </w:r>
      <w:r>
        <w:rPr>
          <w:rFonts w:hint="default" w:ascii="Times New Roman" w:hAnsi="Times New Roman" w:eastAsia="仿宋_GB2312" w:cs="Times New Roman"/>
          <w:kern w:val="0"/>
          <w:sz w:val="32"/>
          <w:szCs w:val="32"/>
        </w:rPr>
        <w:t>。其中，基本支出</w:t>
      </w:r>
      <w:r>
        <w:rPr>
          <w:rFonts w:hint="default" w:ascii="Times New Roman" w:hAnsi="Times New Roman" w:eastAsia="仿宋_GB2312" w:cs="Times New Roman"/>
          <w:kern w:val="0"/>
          <w:sz w:val="32"/>
          <w:szCs w:val="32"/>
          <w:lang w:val="en-US" w:eastAsia="zh-CN"/>
        </w:rPr>
        <w:t>554.39</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19.52</w:t>
      </w:r>
      <w:r>
        <w:rPr>
          <w:rFonts w:hint="default" w:ascii="Times New Roman" w:hAnsi="Times New Roman" w:eastAsia="仿宋_GB2312" w:cs="Times New Roman"/>
          <w:kern w:val="0"/>
          <w:sz w:val="32"/>
          <w:szCs w:val="32"/>
        </w:rPr>
        <w:t>%，主要用于保障机构日常运转、完成日常工作任务；项目支出</w:t>
      </w:r>
      <w:r>
        <w:rPr>
          <w:rFonts w:hint="default" w:ascii="Times New Roman" w:hAnsi="Times New Roman" w:eastAsia="仿宋_GB2312" w:cs="Times New Roman"/>
          <w:kern w:val="0"/>
          <w:sz w:val="32"/>
          <w:szCs w:val="32"/>
          <w:lang w:val="en-US" w:eastAsia="zh-CN"/>
        </w:rPr>
        <w:t>2286</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80.48</w:t>
      </w:r>
      <w:r>
        <w:rPr>
          <w:rFonts w:hint="default" w:ascii="Times New Roman" w:hAnsi="Times New Roman" w:eastAsia="仿宋_GB2312" w:cs="Times New Roman"/>
          <w:kern w:val="0"/>
          <w:sz w:val="32"/>
          <w:szCs w:val="32"/>
        </w:rPr>
        <w:t>%，主要用于</w:t>
      </w:r>
      <w:r>
        <w:rPr>
          <w:rFonts w:hint="default" w:ascii="Times New Roman" w:hAnsi="Times New Roman" w:eastAsia="仿宋_GB2312" w:cs="Times New Roman"/>
          <w:sz w:val="32"/>
          <w:szCs w:val="32"/>
        </w:rPr>
        <w:t>保障民政事业发展需要设立的项目</w:t>
      </w:r>
      <w:r>
        <w:rPr>
          <w:rFonts w:hint="default" w:ascii="Times New Roman" w:hAnsi="Times New Roman" w:eastAsia="仿宋_GB2312" w:cs="Times New Roman"/>
          <w:kern w:val="0"/>
          <w:sz w:val="32"/>
          <w:szCs w:val="32"/>
        </w:rPr>
        <w:t>。</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四、关于2023年财政拨款收支总表的说明</w:t>
      </w:r>
    </w:p>
    <w:p>
      <w:pPr>
        <w:pStyle w:val="9"/>
        <w:adjustRightInd w:val="0"/>
        <w:snapToGrid w:val="0"/>
        <w:spacing w:before="0" w:beforeAutospacing="0" w:after="0" w:afterAutospacing="0" w:line="600" w:lineRule="exact"/>
        <w:ind w:firstLine="627" w:firstLineChars="196"/>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2023年财政拨款收支预算</w:t>
      </w:r>
      <w:r>
        <w:rPr>
          <w:rFonts w:hint="default" w:ascii="Times New Roman" w:hAnsi="Times New Roman" w:eastAsia="仿宋_GB2312" w:cs="Times New Roman"/>
          <w:kern w:val="0"/>
          <w:sz w:val="32"/>
          <w:szCs w:val="32"/>
          <w:lang w:val="en-US" w:eastAsia="zh-CN"/>
        </w:rPr>
        <w:t>2840.39</w:t>
      </w:r>
      <w:r>
        <w:rPr>
          <w:rFonts w:hint="default" w:ascii="Times New Roman" w:hAnsi="Times New Roman" w:eastAsia="仿宋_GB2312" w:cs="Times New Roman"/>
          <w:kern w:val="0"/>
          <w:sz w:val="32"/>
          <w:szCs w:val="32"/>
        </w:rPr>
        <w:t>万元。收入按资金来源分为：一般公共预算拨款</w:t>
      </w:r>
      <w:r>
        <w:rPr>
          <w:rFonts w:hint="default" w:ascii="Times New Roman" w:hAnsi="Times New Roman" w:eastAsia="仿宋_GB2312" w:cs="Times New Roman"/>
          <w:sz w:val="32"/>
          <w:szCs w:val="32"/>
          <w:lang w:val="en-US" w:eastAsia="zh-CN"/>
        </w:rPr>
        <w:t>2305.39</w:t>
      </w:r>
      <w:r>
        <w:rPr>
          <w:rFonts w:hint="default" w:ascii="Times New Roman" w:hAnsi="Times New Roman" w:eastAsia="仿宋_GB2312" w:cs="Times New Roman"/>
          <w:kern w:val="0"/>
          <w:sz w:val="32"/>
          <w:szCs w:val="32"/>
        </w:rPr>
        <w:t>万元、政府性基金预算拨款</w:t>
      </w:r>
      <w:r>
        <w:rPr>
          <w:rFonts w:hint="default" w:ascii="Times New Roman" w:hAnsi="Times New Roman" w:eastAsia="仿宋_GB2312" w:cs="Times New Roman"/>
          <w:kern w:val="0"/>
          <w:sz w:val="32"/>
          <w:szCs w:val="32"/>
          <w:lang w:val="en-US" w:eastAsia="zh-CN"/>
        </w:rPr>
        <w:t>535</w:t>
      </w:r>
      <w:r>
        <w:rPr>
          <w:rFonts w:hint="default" w:ascii="Times New Roman" w:hAnsi="Times New Roman" w:eastAsia="仿宋_GB2312" w:cs="Times New Roman"/>
          <w:kern w:val="0"/>
          <w:sz w:val="32"/>
          <w:szCs w:val="32"/>
        </w:rPr>
        <w:t>万元；按资金年度分为：本年财政拨款收入</w:t>
      </w:r>
      <w:r>
        <w:rPr>
          <w:rFonts w:hint="default" w:ascii="Times New Roman" w:hAnsi="Times New Roman" w:eastAsia="仿宋_GB2312" w:cs="Times New Roman"/>
          <w:kern w:val="0"/>
          <w:sz w:val="32"/>
          <w:szCs w:val="32"/>
          <w:lang w:val="en-US" w:eastAsia="zh-CN"/>
        </w:rPr>
        <w:t>2840.39</w:t>
      </w:r>
      <w:r>
        <w:rPr>
          <w:rFonts w:hint="default" w:ascii="Times New Roman" w:hAnsi="Times New Roman" w:eastAsia="仿宋_GB2312" w:cs="Times New Roman"/>
          <w:kern w:val="0"/>
          <w:sz w:val="32"/>
          <w:szCs w:val="32"/>
        </w:rPr>
        <w:t>万元。支出按功能分类分为：</w:t>
      </w: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2233.86万元，占78.65%</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19.43万元，占0.68%</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52.09万元，占1.83%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lang w:val="en-US" w:eastAsia="zh-CN"/>
        </w:rPr>
        <w:t>535万元，占18.84%。</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五、关于2023年一般公共预算支出表的说明</w:t>
      </w:r>
    </w:p>
    <w:p>
      <w:pPr>
        <w:pStyle w:val="9"/>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2023年一般公共预算支出</w:t>
      </w:r>
      <w:r>
        <w:rPr>
          <w:rFonts w:hint="default" w:ascii="Times New Roman" w:hAnsi="Times New Roman" w:eastAsia="仿宋_GB2312" w:cs="Times New Roman"/>
          <w:kern w:val="0"/>
          <w:sz w:val="32"/>
          <w:szCs w:val="32"/>
          <w:lang w:val="en-US" w:eastAsia="zh-CN"/>
        </w:rPr>
        <w:t>2305.39</w:t>
      </w:r>
      <w:r>
        <w:rPr>
          <w:rFonts w:hint="default" w:ascii="Times New Roman" w:hAnsi="Times New Roman" w:eastAsia="仿宋_GB2312" w:cs="Times New Roman"/>
          <w:kern w:val="0"/>
          <w:sz w:val="32"/>
          <w:szCs w:val="32"/>
        </w:rPr>
        <w:t>万元，比2022年预算</w:t>
      </w:r>
      <w:r>
        <w:rPr>
          <w:rFonts w:hint="eastAsia"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lang w:val="en-US" w:eastAsia="zh-CN"/>
        </w:rPr>
        <w:t>795.60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52.70</w:t>
      </w:r>
      <w:r>
        <w:rPr>
          <w:rFonts w:hint="default" w:ascii="Times New Roman" w:hAnsi="Times New Roman" w:eastAsia="仿宋_GB2312" w:cs="Times New Roman"/>
          <w:kern w:val="0"/>
          <w:sz w:val="32"/>
          <w:szCs w:val="32"/>
        </w:rPr>
        <w:t>%，主要原因</w:t>
      </w:r>
      <w:r>
        <w:rPr>
          <w:rFonts w:hint="default" w:ascii="Times New Roman" w:hAnsi="Times New Roman" w:eastAsia="仿宋_GB2312" w:cs="Times New Roman"/>
          <w:kern w:val="0"/>
          <w:sz w:val="32"/>
          <w:szCs w:val="32"/>
          <w:lang w:eastAsia="zh-CN"/>
        </w:rPr>
        <w:t>是增加项目安排</w:t>
      </w:r>
      <w:r>
        <w:rPr>
          <w:rFonts w:hint="default" w:ascii="Times New Roman" w:hAnsi="Times New Roman" w:eastAsia="仿宋_GB2312" w:cs="Times New Roman"/>
          <w:kern w:val="0"/>
          <w:sz w:val="32"/>
          <w:szCs w:val="32"/>
        </w:rPr>
        <w:t>。</w:t>
      </w:r>
    </w:p>
    <w:p>
      <w:pPr>
        <w:pStyle w:val="9"/>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val="en-US" w:eastAsia="zh-CN"/>
        </w:rPr>
        <w:t>2233.86万元，占</w:t>
      </w:r>
      <w:r>
        <w:rPr>
          <w:rFonts w:hint="eastAsia" w:ascii="Times New Roman" w:hAnsi="Times New Roman" w:eastAsia="仿宋_GB2312" w:cs="Times New Roman"/>
          <w:sz w:val="32"/>
          <w:szCs w:val="32"/>
          <w:lang w:val="en-US" w:eastAsia="zh-CN"/>
        </w:rPr>
        <w:t>96.90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val="en-US" w:eastAsia="zh-CN"/>
        </w:rPr>
        <w:t>19.43万元，占0.</w:t>
      </w:r>
      <w:r>
        <w:rPr>
          <w:rFonts w:hint="eastAsia" w:ascii="Times New Roman" w:hAnsi="Times New Roman" w:eastAsia="仿宋_GB2312" w:cs="Times New Roman"/>
          <w:sz w:val="32"/>
          <w:szCs w:val="32"/>
          <w:lang w:val="en-US" w:eastAsia="zh-CN"/>
        </w:rPr>
        <w:t>84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、住房保障支出</w:t>
      </w:r>
      <w:r>
        <w:rPr>
          <w:rFonts w:hint="default" w:ascii="Times New Roman" w:hAnsi="Times New Roman" w:eastAsia="仿宋_GB2312" w:cs="Times New Roman"/>
          <w:sz w:val="32"/>
          <w:szCs w:val="32"/>
          <w:lang w:val="en-US" w:eastAsia="zh-CN"/>
        </w:rPr>
        <w:t>52.09万元，占</w:t>
      </w:r>
      <w:r>
        <w:rPr>
          <w:rFonts w:hint="eastAsia" w:ascii="Times New Roman" w:hAnsi="Times New Roman" w:eastAsia="仿宋_GB2312" w:cs="Times New Roman"/>
          <w:sz w:val="32"/>
          <w:szCs w:val="32"/>
          <w:lang w:val="en-US" w:eastAsia="zh-CN"/>
        </w:rPr>
        <w:t>2.26</w:t>
      </w:r>
      <w:r>
        <w:rPr>
          <w:rFonts w:hint="default" w:ascii="Times New Roman" w:hAnsi="Times New Roman" w:eastAsia="仿宋_GB2312" w:cs="Times New Roman"/>
          <w:sz w:val="32"/>
          <w:szCs w:val="32"/>
          <w:lang w:val="en-US" w:eastAsia="zh-CN"/>
        </w:rPr>
        <w:t>%。</w:t>
      </w:r>
    </w:p>
    <w:p>
      <w:pPr>
        <w:pStyle w:val="9"/>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1.社会保障和就业支出（类）民政管理事务（款）行政运行（项）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343.74</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US" w:eastAsia="zh-CN"/>
        </w:rPr>
        <w:t>74.02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27.45</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公务费综合定额提高标准及招考录用一人</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.社会保障和就业支出（类）民政管理事务（款）基层政权建设和社区治理（项）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22年智慧社区项目质保金结束</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社会保障和就业支出（类）民政管理事务（款）其他民政管理事务支出（项）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176</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100.5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133.11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项目增加</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.社会保障和就业支出（类）行政事业单位养老支出（款）行政单位离退休（项）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108.89</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US" w:eastAsia="zh-CN"/>
        </w:rPr>
        <w:t>68.26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增加离休人员补助及离休人员公务费综合定额提高标准</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.社会保障和就业支出（类）行政事业单位养老支出（款）机关事业单位基本养老保险缴费支出（项）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38.15</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11.32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lang w:val="en-US" w:eastAsia="zh-CN"/>
        </w:rPr>
        <w:t>42.17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增</w:t>
      </w:r>
      <w:r>
        <w:rPr>
          <w:rFonts w:hint="eastAsia" w:ascii="Times New Roman" w:hAnsi="Times New Roman" w:eastAsia="仿宋_GB2312" w:cs="Times New Roman"/>
          <w:sz w:val="32"/>
          <w:szCs w:val="32"/>
          <w:lang w:val="en-US" w:eastAsia="zh-CN"/>
        </w:rPr>
        <w:t>长</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eastAsia="zh-CN"/>
        </w:rPr>
        <w:t>基数调整</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6</w:t>
      </w:r>
      <w:r>
        <w:rPr>
          <w:rFonts w:hint="default" w:ascii="Times New Roman" w:hAnsi="Times New Roman" w:eastAsia="仿宋_GB2312" w:cs="Times New Roman"/>
          <w:b/>
          <w:sz w:val="32"/>
          <w:szCs w:val="32"/>
        </w:rPr>
        <w:t>.社会保障和就业支出（类）行政事业单位养老支出（款）机关事业单位职业年金缴费支出（项）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19.08</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5.66</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lang w:val="en-US" w:eastAsia="zh-CN"/>
        </w:rPr>
        <w:t>42.17</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2023年单位缴纳职业年金</w:t>
      </w:r>
      <w:r>
        <w:rPr>
          <w:rFonts w:hint="eastAsia" w:ascii="Times New Roman" w:hAnsi="Times New Roman" w:eastAsia="仿宋_GB2312" w:cs="Times New Roman"/>
          <w:sz w:val="32"/>
          <w:szCs w:val="32"/>
          <w:lang w:val="en-US" w:eastAsia="zh-CN"/>
        </w:rPr>
        <w:t>基数</w:t>
      </w:r>
      <w:r>
        <w:rPr>
          <w:rFonts w:hint="default" w:ascii="Times New Roman" w:hAnsi="Times New Roman" w:eastAsia="仿宋_GB2312" w:cs="Times New Roman"/>
          <w:sz w:val="32"/>
          <w:szCs w:val="32"/>
          <w:lang w:val="en-US" w:eastAsia="zh-CN"/>
        </w:rPr>
        <w:t>调整</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.社会保障和就业支出（类）社会福利（款）老年福利（项）</w:t>
      </w:r>
      <w:r>
        <w:rPr>
          <w:rFonts w:hint="default" w:ascii="Times New Roman" w:hAnsi="Times New Roman" w:eastAsia="仿宋_GB2312" w:cs="Times New Roman"/>
          <w:sz w:val="32"/>
          <w:szCs w:val="32"/>
          <w:lang w:eastAsia="zh-CN"/>
        </w:rPr>
        <w:t>2023年</w:t>
      </w:r>
      <w:r>
        <w:rPr>
          <w:rFonts w:hint="eastAsia" w:ascii="Times New Roman" w:hAnsi="Times New Roman" w:eastAsia="仿宋_GB2312" w:cs="Times New Roman"/>
          <w:sz w:val="32"/>
          <w:szCs w:val="32"/>
          <w:lang w:eastAsia="zh-CN"/>
        </w:rPr>
        <w:t>预算</w:t>
      </w:r>
      <w:r>
        <w:rPr>
          <w:rFonts w:hint="default" w:ascii="Times New Roman" w:hAnsi="Times New Roman" w:eastAsia="仿宋_GB2312" w:cs="Times New Roman"/>
          <w:sz w:val="32"/>
          <w:szCs w:val="32"/>
          <w:lang w:val="en-US" w:eastAsia="zh-CN"/>
        </w:rPr>
        <w:t>1146</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
        </w:rPr>
        <w:t>260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
        </w:rPr>
        <w:t>29.35</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增加老年养老项目经费</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8</w:t>
      </w:r>
      <w:r>
        <w:rPr>
          <w:rFonts w:hint="default" w:ascii="Times New Roman" w:hAnsi="Times New Roman" w:eastAsia="仿宋_GB2312" w:cs="Times New Roman"/>
          <w:b/>
          <w:sz w:val="32"/>
          <w:szCs w:val="32"/>
        </w:rPr>
        <w:t>.社会保障和就业支出（类）社会福利（款）养老服务（项）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372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预算增加</w:t>
      </w:r>
      <w:r>
        <w:rPr>
          <w:rFonts w:hint="default" w:ascii="Times New Roman" w:hAnsi="Times New Roman" w:eastAsia="仿宋_GB2312" w:cs="Times New Roman"/>
          <w:sz w:val="32"/>
          <w:szCs w:val="32"/>
          <w:lang w:val="en-US" w:eastAsia="zh-CN"/>
        </w:rPr>
        <w:t>292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增加养老服务平台运营经费</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rPr>
        <w:t>.卫生健康支出（类）行政事业单位医疗（款）行政单位医疗（项）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US" w:eastAsia="zh-CN"/>
        </w:rPr>
        <w:t>4.32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0.23</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1.61</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人员退休</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10</w:t>
      </w:r>
      <w:r>
        <w:rPr>
          <w:rFonts w:hint="default" w:ascii="Times New Roman" w:hAnsi="Times New Roman" w:eastAsia="仿宋_GB2312" w:cs="Times New Roman"/>
          <w:b/>
          <w:sz w:val="32"/>
          <w:szCs w:val="32"/>
        </w:rPr>
        <w:t>.卫生健康支出（类）行政事业单位医疗（款）公务员医疗补助（项）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5.11</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lang w:val="en-US" w:eastAsia="zh-CN"/>
        </w:rPr>
        <w:t>3.53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lang w:val="en-US" w:eastAsia="zh-CN"/>
        </w:rPr>
        <w:t>40.82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下降</w:t>
      </w:r>
      <w:r>
        <w:rPr>
          <w:rFonts w:hint="default" w:ascii="Times New Roman" w:hAnsi="Times New Roman" w:eastAsia="仿宋_GB2312" w:cs="Times New Roman"/>
          <w:sz w:val="32"/>
          <w:szCs w:val="32"/>
        </w:rPr>
        <w:t>原因主要是</w:t>
      </w:r>
      <w:r>
        <w:rPr>
          <w:rFonts w:hint="default" w:ascii="Times New Roman" w:hAnsi="Times New Roman" w:eastAsia="仿宋_GB2312" w:cs="Times New Roman"/>
          <w:sz w:val="32"/>
          <w:szCs w:val="32"/>
          <w:lang w:val="en-US" w:eastAsia="zh-CN"/>
        </w:rPr>
        <w:t>基数调整</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11</w:t>
      </w:r>
      <w:r>
        <w:rPr>
          <w:rFonts w:hint="default" w:ascii="Times New Roman" w:hAnsi="Times New Roman" w:eastAsia="仿宋_GB2312" w:cs="Times New Roman"/>
          <w:b/>
          <w:sz w:val="32"/>
          <w:szCs w:val="32"/>
        </w:rPr>
        <w:t>.住房保障支出（类）住房改革支出（款）住房公积金（项）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36.77</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5.04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15.89</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val="en-US" w:eastAsia="zh-CN"/>
        </w:rPr>
        <w:t>人员退休</w:t>
      </w:r>
      <w:r>
        <w:rPr>
          <w:rFonts w:hint="default" w:ascii="Times New Roman" w:hAnsi="Times New Roman" w:eastAsia="仿宋_GB2312" w:cs="Times New Roman"/>
          <w:sz w:val="32"/>
          <w:szCs w:val="32"/>
        </w:rPr>
        <w:t>。</w:t>
      </w:r>
    </w:p>
    <w:p>
      <w:pPr>
        <w:adjustRightInd w:val="0"/>
        <w:snapToGrid w:val="0"/>
        <w:spacing w:line="600" w:lineRule="exact"/>
        <w:ind w:firstLine="643" w:firstLineChars="200"/>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b/>
          <w:sz w:val="32"/>
          <w:szCs w:val="32"/>
          <w:lang w:val="en-US" w:eastAsia="zh-CN"/>
        </w:rPr>
        <w:t>12</w:t>
      </w:r>
      <w:r>
        <w:rPr>
          <w:rFonts w:hint="default" w:ascii="Times New Roman" w:hAnsi="Times New Roman" w:eastAsia="仿宋_GB2312" w:cs="Times New Roman"/>
          <w:b/>
          <w:sz w:val="32"/>
          <w:szCs w:val="32"/>
        </w:rPr>
        <w:t>.住房保障支出（类）住房改革支出（款</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bCs w:val="0"/>
          <w:sz w:val="32"/>
          <w:szCs w:val="32"/>
          <w:lang w:val="en-US" w:eastAsia="zh-CN"/>
        </w:rPr>
        <w:t>购房补贴</w:t>
      </w:r>
      <w:r>
        <w:rPr>
          <w:rFonts w:hint="default" w:ascii="Times New Roman" w:hAnsi="Times New Roman" w:eastAsia="仿宋_GB2312" w:cs="Times New Roman"/>
          <w:b/>
          <w:bCs w:val="0"/>
          <w:sz w:val="32"/>
          <w:szCs w:val="32"/>
        </w:rPr>
        <w:t>（</w:t>
      </w:r>
      <w:r>
        <w:rPr>
          <w:rFonts w:hint="default" w:ascii="Times New Roman" w:hAnsi="Times New Roman" w:eastAsia="仿宋_GB2312" w:cs="Times New Roman"/>
          <w:b/>
          <w:sz w:val="32"/>
          <w:szCs w:val="32"/>
        </w:rPr>
        <w:t>项）</w:t>
      </w:r>
      <w:r>
        <w:rPr>
          <w:rFonts w:hint="default"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15.32</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lang w:eastAsia="zh-CN"/>
        </w:rPr>
        <w:t>2022年</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2.10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15.89</w:t>
      </w:r>
      <w:r>
        <w:rPr>
          <w:rFonts w:hint="default" w:ascii="Times New Roman" w:hAnsi="Times New Roman" w:eastAsia="仿宋_GB2312" w:cs="Times New Roman"/>
          <w:sz w:val="32"/>
          <w:szCs w:val="32"/>
        </w:rPr>
        <w:t>%，增长原因主要是</w:t>
      </w:r>
      <w:r>
        <w:rPr>
          <w:rFonts w:hint="default" w:ascii="Times New Roman" w:hAnsi="Times New Roman" w:eastAsia="仿宋_GB2312" w:cs="Times New Roman"/>
          <w:sz w:val="32"/>
          <w:szCs w:val="32"/>
          <w:lang w:eastAsia="zh-CN"/>
        </w:rPr>
        <w:t>新招录人员</w:t>
      </w:r>
      <w:r>
        <w:rPr>
          <w:rFonts w:hint="default" w:ascii="Times New Roman" w:hAnsi="Times New Roman" w:eastAsia="仿宋_GB2312" w:cs="Times New Roman"/>
          <w:sz w:val="32"/>
          <w:szCs w:val="32"/>
        </w:rPr>
        <w:t>。</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六、关于2023年一般公共预算基本支出表的说明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2023年一般公共预算基本支出</w:t>
      </w:r>
      <w:r>
        <w:rPr>
          <w:rFonts w:hint="default" w:ascii="Times New Roman" w:hAnsi="Times New Roman" w:eastAsia="仿宋_GB2312" w:cs="Times New Roman"/>
          <w:kern w:val="0"/>
          <w:sz w:val="32"/>
          <w:szCs w:val="32"/>
          <w:lang w:val="en-US" w:eastAsia="zh-CN"/>
        </w:rPr>
        <w:t>554.4</w:t>
      </w:r>
      <w:r>
        <w:rPr>
          <w:rFonts w:hint="default" w:ascii="Times New Roman" w:hAnsi="Times New Roman" w:eastAsia="仿宋_GB2312" w:cs="Times New Roman"/>
          <w:kern w:val="0"/>
          <w:sz w:val="32"/>
          <w:szCs w:val="32"/>
        </w:rPr>
        <w:t>万元，其中，人员经费</w:t>
      </w:r>
      <w:r>
        <w:rPr>
          <w:rFonts w:hint="default" w:ascii="Times New Roman" w:hAnsi="Times New Roman" w:eastAsia="仿宋_GB2312" w:cs="Times New Roman"/>
          <w:kern w:val="0"/>
          <w:sz w:val="32"/>
          <w:szCs w:val="32"/>
          <w:lang w:val="en-US" w:eastAsia="zh-CN"/>
        </w:rPr>
        <w:t>484.4</w:t>
      </w:r>
      <w:r>
        <w:rPr>
          <w:rFonts w:hint="default" w:ascii="Times New Roman" w:hAnsi="Times New Roman" w:eastAsia="仿宋_GB2312" w:cs="Times New Roman"/>
          <w:kern w:val="0"/>
          <w:sz w:val="32"/>
          <w:szCs w:val="32"/>
        </w:rPr>
        <w:t>万元，公用经费</w:t>
      </w:r>
      <w:r>
        <w:rPr>
          <w:rFonts w:hint="default" w:ascii="Times New Roman" w:hAnsi="Times New Roman" w:eastAsia="仿宋_GB2312" w:cs="Times New Roman"/>
          <w:kern w:val="0"/>
          <w:sz w:val="32"/>
          <w:szCs w:val="32"/>
          <w:lang w:val="en-US" w:eastAsia="zh-CN"/>
        </w:rPr>
        <w:t>70.0</w:t>
      </w:r>
      <w:r>
        <w:rPr>
          <w:rFonts w:hint="default" w:ascii="Times New Roman" w:hAnsi="Times New Roman" w:eastAsia="仿宋_GB2312" w:cs="Times New Roman"/>
          <w:kern w:val="0"/>
          <w:sz w:val="32"/>
          <w:szCs w:val="32"/>
        </w:rPr>
        <w:t>万元。</w:t>
      </w:r>
    </w:p>
    <w:p>
      <w:pPr>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kern w:val="0"/>
          <w:sz w:val="32"/>
          <w:szCs w:val="32"/>
        </w:rPr>
        <w:t>（一）人员经费</w:t>
      </w:r>
      <w:r>
        <w:rPr>
          <w:rFonts w:hint="default" w:ascii="Times New Roman" w:hAnsi="Times New Roman" w:eastAsia="仿宋_GB2312" w:cs="Times New Roman"/>
          <w:b/>
          <w:kern w:val="0"/>
          <w:sz w:val="32"/>
          <w:szCs w:val="32"/>
          <w:lang w:val="en-US" w:eastAsia="zh-CN"/>
        </w:rPr>
        <w:t>484.4</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基本工资</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津贴补贴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奖金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机关事业单位基本养老保险缴费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职业年金缴费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职工基本医疗保险缴费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公务员医疗补助缴费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其他社会保障缴费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住房公积金</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离休费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退休费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生活补助</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医疗费补助</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其他对个人和家庭的补助</w:t>
      </w:r>
      <w:r>
        <w:rPr>
          <w:rFonts w:hint="default" w:ascii="Times New Roman" w:hAnsi="Times New Roman" w:eastAsia="仿宋_GB2312" w:cs="Times New Roman"/>
          <w:kern w:val="0"/>
          <w:sz w:val="32"/>
          <w:szCs w:val="32"/>
          <w:lang w:eastAsia="zh-CN"/>
        </w:rPr>
        <w:t>。</w:t>
      </w:r>
    </w:p>
    <w:p>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w:t>
      </w:r>
      <w:r>
        <w:rPr>
          <w:rFonts w:hint="default" w:ascii="Times New Roman" w:hAnsi="Times New Roman" w:eastAsia="仿宋_GB2312" w:cs="Times New Roman"/>
          <w:b/>
          <w:kern w:val="0"/>
          <w:sz w:val="32"/>
          <w:szCs w:val="32"/>
          <w:lang w:val="en-US" w:eastAsia="zh-CN"/>
        </w:rPr>
        <w:t>70.0</w:t>
      </w:r>
      <w:r>
        <w:rPr>
          <w:rFonts w:hint="default" w:ascii="Times New Roman" w:hAnsi="Times New Roman" w:eastAsia="仿宋_GB2312" w:cs="Times New Roman"/>
          <w:b/>
          <w:kern w:val="0"/>
          <w:sz w:val="32"/>
          <w:szCs w:val="32"/>
        </w:rPr>
        <w:t>万元，</w:t>
      </w:r>
      <w:r>
        <w:rPr>
          <w:rFonts w:hint="default" w:ascii="Times New Roman" w:hAnsi="Times New Roman" w:eastAsia="仿宋_GB2312" w:cs="Times New Roman"/>
          <w:kern w:val="0"/>
          <w:sz w:val="32"/>
          <w:szCs w:val="32"/>
        </w:rPr>
        <w:t>主要包括：办公费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公务接待费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工会经费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福利费</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其他交通费用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其他商品和服务支出</w:t>
      </w:r>
      <w:r>
        <w:rPr>
          <w:rFonts w:hint="default" w:ascii="Times New Roman" w:hAnsi="Times New Roman" w:eastAsia="仿宋_GB2312" w:cs="Times New Roman"/>
          <w:kern w:val="0"/>
          <w:sz w:val="32"/>
          <w:szCs w:val="32"/>
          <w:lang w:eastAsia="zh-CN"/>
        </w:rPr>
        <w:t>。</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七、关于2023年政府性基金预算支出表的说明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2023年政府性基金支出</w:t>
      </w:r>
      <w:r>
        <w:rPr>
          <w:rFonts w:hint="default" w:ascii="Times New Roman" w:hAnsi="Times New Roman" w:eastAsia="仿宋_GB2312" w:cs="Times New Roman"/>
          <w:kern w:val="0"/>
          <w:sz w:val="32"/>
          <w:szCs w:val="32"/>
          <w:lang w:val="en-US" w:eastAsia="zh-CN"/>
        </w:rPr>
        <w:t>535</w:t>
      </w:r>
      <w:r>
        <w:rPr>
          <w:rFonts w:hint="default" w:ascii="Times New Roman" w:hAnsi="Times New Roman" w:eastAsia="仿宋_GB2312" w:cs="Times New Roman"/>
          <w:kern w:val="0"/>
          <w:sz w:val="32"/>
          <w:szCs w:val="32"/>
        </w:rPr>
        <w:t>万元，比2022年预算</w:t>
      </w:r>
      <w:r>
        <w:rPr>
          <w:rFonts w:hint="default" w:ascii="Times New Roman" w:hAnsi="Times New Roman" w:eastAsia="仿宋_GB2312" w:cs="Times New Roman"/>
          <w:kern w:val="0"/>
          <w:sz w:val="32"/>
          <w:szCs w:val="32"/>
          <w:lang w:eastAsia="zh-CN"/>
        </w:rPr>
        <w:t>减少</w:t>
      </w:r>
      <w:r>
        <w:rPr>
          <w:rFonts w:hint="default" w:ascii="Times New Roman" w:hAnsi="Times New Roman" w:eastAsia="仿宋_GB2312" w:cs="Times New Roman"/>
          <w:kern w:val="0"/>
          <w:sz w:val="32"/>
          <w:szCs w:val="32"/>
          <w:lang w:val="en-US" w:eastAsia="zh-CN"/>
        </w:rPr>
        <w:t>417.8</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43.85</w:t>
      </w:r>
      <w:r>
        <w:rPr>
          <w:rFonts w:hint="default" w:ascii="Times New Roman" w:hAnsi="Times New Roman" w:eastAsia="仿宋_GB2312" w:cs="Times New Roman"/>
          <w:kern w:val="0"/>
          <w:sz w:val="32"/>
          <w:szCs w:val="32"/>
        </w:rPr>
        <w:t>%，原因主要是减少项目安排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具体情况如下：</w:t>
      </w:r>
    </w:p>
    <w:p>
      <w:pPr>
        <w:pStyle w:val="9"/>
        <w:adjustRightInd w:val="0"/>
        <w:snapToGrid w:val="0"/>
        <w:spacing w:before="0" w:beforeAutospacing="0" w:after="0" w:afterAutospacing="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（一）其他支出—彩票公益金安排的支出</w:t>
      </w:r>
      <w:r>
        <w:rPr>
          <w:rFonts w:hint="default" w:ascii="Times New Roman" w:hAnsi="Times New Roman" w:eastAsia="仿宋_GB2312" w:cs="Times New Roman"/>
          <w:sz w:val="32"/>
          <w:szCs w:val="32"/>
          <w:lang w:val="en-US" w:eastAsia="zh-CN"/>
        </w:rPr>
        <w:t>535</w:t>
      </w:r>
      <w:r>
        <w:rPr>
          <w:rFonts w:hint="default" w:ascii="Times New Roman" w:hAnsi="Times New Roman" w:eastAsia="仿宋_GB2312" w:cs="Times New Roman"/>
          <w:sz w:val="32"/>
          <w:szCs w:val="32"/>
        </w:rPr>
        <w:t>万元，比202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年预算拨款减少</w:t>
      </w:r>
      <w:r>
        <w:rPr>
          <w:rFonts w:hint="default" w:ascii="Times New Roman" w:hAnsi="Times New Roman" w:eastAsia="仿宋_GB2312" w:cs="Times New Roman"/>
          <w:sz w:val="32"/>
          <w:szCs w:val="32"/>
          <w:lang w:val="en-US" w:eastAsia="zh-CN"/>
        </w:rPr>
        <w:t>417.8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43.85</w:t>
      </w:r>
      <w:r>
        <w:rPr>
          <w:rFonts w:hint="default" w:ascii="Times New Roman" w:hAnsi="Times New Roman" w:eastAsia="仿宋_GB2312" w:cs="Times New Roman"/>
          <w:sz w:val="32"/>
          <w:szCs w:val="32"/>
        </w:rPr>
        <w:t>%，主要原因是项目减少。</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八、关于2023年国有资本经营预算支出表的说明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2023年没有国有资本经营预算拨款收入，也没有使用国有资本经营预算拨款安排的支出。</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九、关于2023年项目支出表的说明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2023年预算共安排项目支出</w:t>
      </w:r>
      <w:r>
        <w:rPr>
          <w:rFonts w:hint="default" w:ascii="Times New Roman" w:hAnsi="Times New Roman" w:eastAsia="仿宋_GB2312" w:cs="Times New Roman"/>
          <w:kern w:val="0"/>
          <w:sz w:val="32"/>
          <w:szCs w:val="32"/>
          <w:lang w:val="en-US" w:eastAsia="zh-CN"/>
        </w:rPr>
        <w:t>2286</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221.70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10.74</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项目增加</w:t>
      </w:r>
      <w:r>
        <w:rPr>
          <w:rFonts w:hint="default" w:ascii="Times New Roman" w:hAnsi="Times New Roman" w:eastAsia="仿宋_GB2312" w:cs="Times New Roman"/>
          <w:kern w:val="0"/>
          <w:sz w:val="32"/>
          <w:szCs w:val="32"/>
        </w:rPr>
        <w:t>。主要包括：本年财政拨款安排</w:t>
      </w:r>
      <w:r>
        <w:rPr>
          <w:rFonts w:hint="default" w:ascii="Times New Roman" w:hAnsi="Times New Roman" w:eastAsia="仿宋_GB2312" w:cs="Times New Roman"/>
          <w:kern w:val="0"/>
          <w:sz w:val="32"/>
          <w:szCs w:val="32"/>
          <w:lang w:val="en-US" w:eastAsia="zh-CN"/>
        </w:rPr>
        <w:t>2286</w:t>
      </w:r>
      <w:r>
        <w:rPr>
          <w:rFonts w:hint="default" w:ascii="Times New Roman" w:hAnsi="Times New Roman" w:eastAsia="仿宋_GB2312" w:cs="Times New Roman"/>
          <w:kern w:val="0"/>
          <w:sz w:val="32"/>
          <w:szCs w:val="32"/>
        </w:rPr>
        <w:t>万元（其中，一般公共预算拨款安排</w:t>
      </w:r>
      <w:r>
        <w:rPr>
          <w:rFonts w:hint="default" w:ascii="Times New Roman" w:hAnsi="Times New Roman" w:eastAsia="仿宋_GB2312" w:cs="Times New Roman"/>
          <w:kern w:val="0"/>
          <w:sz w:val="32"/>
          <w:szCs w:val="32"/>
          <w:lang w:val="en-US" w:eastAsia="zh-CN"/>
        </w:rPr>
        <w:t>1751</w:t>
      </w:r>
      <w:r>
        <w:rPr>
          <w:rFonts w:hint="default" w:ascii="Times New Roman" w:hAnsi="Times New Roman" w:eastAsia="仿宋_GB2312" w:cs="Times New Roman"/>
          <w:kern w:val="0"/>
          <w:sz w:val="32"/>
          <w:szCs w:val="32"/>
        </w:rPr>
        <w:t>万元，政府性基金预算拨款安排</w:t>
      </w:r>
      <w:r>
        <w:rPr>
          <w:rFonts w:hint="default" w:ascii="Times New Roman" w:hAnsi="Times New Roman" w:eastAsia="仿宋_GB2312" w:cs="Times New Roman"/>
          <w:kern w:val="0"/>
          <w:sz w:val="32"/>
          <w:szCs w:val="32"/>
          <w:lang w:val="en-US" w:eastAsia="zh-CN"/>
        </w:rPr>
        <w:t>535</w:t>
      </w:r>
      <w:r>
        <w:rPr>
          <w:rFonts w:hint="default" w:ascii="Times New Roman" w:hAnsi="Times New Roman" w:eastAsia="仿宋_GB2312" w:cs="Times New Roman"/>
          <w:kern w:val="0"/>
          <w:sz w:val="32"/>
          <w:szCs w:val="32"/>
        </w:rPr>
        <w:t>万元）。</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十、关于2023年政府采购支出表的说明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2023年预算安排政府采购支出</w:t>
      </w:r>
      <w:r>
        <w:rPr>
          <w:rFonts w:hint="default" w:ascii="Times New Roman" w:hAnsi="Times New Roman" w:eastAsia="仿宋_GB2312" w:cs="Times New Roman"/>
          <w:kern w:val="0"/>
          <w:sz w:val="32"/>
          <w:szCs w:val="32"/>
          <w:lang w:val="en-US" w:eastAsia="zh-CN"/>
        </w:rPr>
        <w:t>515.28</w:t>
      </w:r>
      <w:r>
        <w:rPr>
          <w:rFonts w:hint="default" w:ascii="Times New Roman" w:hAnsi="Times New Roman" w:eastAsia="仿宋_GB2312" w:cs="Times New Roman"/>
          <w:kern w:val="0"/>
          <w:sz w:val="32"/>
          <w:szCs w:val="32"/>
        </w:rPr>
        <w:t>万元，比2022年预算减少</w:t>
      </w:r>
      <w:r>
        <w:rPr>
          <w:rFonts w:hint="default" w:ascii="Times New Roman" w:hAnsi="Times New Roman" w:eastAsia="仿宋_GB2312" w:cs="Times New Roman"/>
          <w:kern w:val="0"/>
          <w:sz w:val="32"/>
          <w:szCs w:val="32"/>
          <w:lang w:val="en-US" w:eastAsia="zh-CN"/>
        </w:rPr>
        <w:t>28.01</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5.16</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lang w:eastAsia="zh-CN"/>
        </w:rPr>
        <w:t>采购项目减少</w:t>
      </w:r>
      <w:r>
        <w:rPr>
          <w:rFonts w:hint="default" w:ascii="Times New Roman" w:hAnsi="Times New Roman" w:eastAsia="仿宋_GB2312" w:cs="Times New Roman"/>
          <w:kern w:val="0"/>
          <w:sz w:val="32"/>
          <w:szCs w:val="32"/>
        </w:rPr>
        <w:t>。其中，一般公共预算安排</w:t>
      </w:r>
      <w:r>
        <w:rPr>
          <w:rFonts w:hint="default" w:ascii="Times New Roman" w:hAnsi="Times New Roman" w:eastAsia="仿宋_GB2312" w:cs="Times New Roman"/>
          <w:kern w:val="0"/>
          <w:sz w:val="32"/>
          <w:szCs w:val="32"/>
          <w:lang w:val="en-US" w:eastAsia="zh-CN"/>
        </w:rPr>
        <w:t>72.28</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14.03</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US" w:eastAsia="zh-CN"/>
        </w:rPr>
        <w:t>443</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85.67</w:t>
      </w:r>
      <w:r>
        <w:rPr>
          <w:rFonts w:hint="default" w:ascii="Times New Roman" w:hAnsi="Times New Roman" w:eastAsia="仿宋_GB2312" w:cs="Times New Roman"/>
          <w:kern w:val="0"/>
          <w:sz w:val="32"/>
          <w:szCs w:val="32"/>
        </w:rPr>
        <w:t>%。</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十一、关于2023年政府购买服务支出表的说明</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2023年预算安排政府购买服务支出</w:t>
      </w:r>
      <w:r>
        <w:rPr>
          <w:rFonts w:hint="default" w:ascii="Times New Roman" w:hAnsi="Times New Roman" w:eastAsia="仿宋_GB2312" w:cs="Times New Roman"/>
          <w:kern w:val="0"/>
          <w:sz w:val="32"/>
          <w:szCs w:val="32"/>
          <w:lang w:val="en" w:eastAsia="zh-CN"/>
        </w:rPr>
        <w:t>638</w:t>
      </w:r>
      <w:r>
        <w:rPr>
          <w:rFonts w:hint="default" w:ascii="Times New Roman" w:hAnsi="Times New Roman" w:eastAsia="仿宋_GB2312" w:cs="Times New Roman"/>
          <w:kern w:val="0"/>
          <w:sz w:val="32"/>
          <w:szCs w:val="32"/>
        </w:rPr>
        <w:t>万元，比2022年预算减少</w:t>
      </w:r>
      <w:r>
        <w:rPr>
          <w:rFonts w:hint="default" w:ascii="Times New Roman" w:hAnsi="Times New Roman" w:eastAsia="仿宋_GB2312" w:cs="Times New Roman"/>
          <w:kern w:val="0"/>
          <w:sz w:val="32"/>
          <w:szCs w:val="32"/>
          <w:lang w:val="en" w:eastAsia="zh-CN"/>
        </w:rPr>
        <w:t>10.8</w:t>
      </w:r>
      <w:r>
        <w:rPr>
          <w:rFonts w:hint="default"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需要政府购买服务</w:t>
      </w:r>
      <w:r>
        <w:rPr>
          <w:rFonts w:hint="default" w:ascii="Times New Roman" w:hAnsi="Times New Roman" w:eastAsia="仿宋_GB2312" w:cs="Times New Roman"/>
          <w:sz w:val="32"/>
          <w:szCs w:val="32"/>
          <w:lang w:val="en-US" w:eastAsia="zh-CN"/>
        </w:rPr>
        <w:t>项目减少</w:t>
      </w:r>
      <w:r>
        <w:rPr>
          <w:rFonts w:hint="default" w:ascii="Times New Roman" w:hAnsi="Times New Roman" w:eastAsia="仿宋_GB2312" w:cs="Times New Roman"/>
          <w:kern w:val="0"/>
          <w:sz w:val="32"/>
          <w:szCs w:val="32"/>
        </w:rPr>
        <w:t>。</w:t>
      </w:r>
    </w:p>
    <w:p>
      <w:pPr>
        <w:pStyle w:val="9"/>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十二、其他重要事项情况说明</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（一）项目及绩效目标情况。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1、“困难群体慈善救助”项目。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p>
    <w:p>
      <w:pPr>
        <w:ind w:firstLine="640" w:firstLineChars="200"/>
        <w:rPr>
          <w:rFonts w:hint="default" w:ascii="Times New Roman" w:hAnsi="Times New Roman" w:cs="Times New Roman"/>
        </w:rPr>
      </w:pPr>
      <w:r>
        <w:rPr>
          <w:rFonts w:hint="default" w:ascii="Times New Roman" w:hAnsi="Times New Roman" w:eastAsia="仿宋_GB2312" w:cs="Times New Roman"/>
          <w:kern w:val="0"/>
          <w:sz w:val="32"/>
          <w:szCs w:val="32"/>
        </w:rPr>
        <w:t>据《安徽省人民政府关于促进慈善事业健康发展的实施意见》（皖政【2015】39号）要求，开展慈善助困、助学、助孤、助残、助老、赈灾等多方面的慈善救助。</w:t>
      </w:r>
    </w:p>
    <w:p>
      <w:pPr>
        <w:numPr>
          <w:ilvl w:val="0"/>
          <w:numId w:val="2"/>
        </w:num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立项依据。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《中华人民共和国慈善法》办法、《善行安徽行动方案</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淮北市人民政府关于加快推进慈善事业发展的意见</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淮北市慈善协会章程</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淮北市慈善协会资助款物管理及会费收取办法》。</w:t>
      </w:r>
    </w:p>
    <w:p>
      <w:pPr>
        <w:numPr>
          <w:ilvl w:val="0"/>
          <w:numId w:val="2"/>
        </w:numPr>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实施主体。</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慈善救助是我市救助体系的重要组成部分，可以有效</w:t>
      </w:r>
      <w:r>
        <w:rPr>
          <w:rFonts w:hint="eastAsia" w:ascii="Times New Roman" w:hAnsi="Times New Roman" w:eastAsia="仿宋_GB2312" w:cs="Times New Roman"/>
          <w:kern w:val="0"/>
          <w:sz w:val="32"/>
          <w:szCs w:val="32"/>
          <w:lang w:eastAsia="zh-CN"/>
        </w:rPr>
        <w:t>地</w:t>
      </w:r>
      <w:r>
        <w:rPr>
          <w:rFonts w:hint="default" w:ascii="Times New Roman" w:hAnsi="Times New Roman" w:eastAsia="仿宋_GB2312" w:cs="Times New Roman"/>
          <w:kern w:val="0"/>
          <w:sz w:val="32"/>
          <w:szCs w:val="32"/>
        </w:rPr>
        <w:t>救助困难群众，促进社会</w:t>
      </w:r>
      <w:r>
        <w:rPr>
          <w:rFonts w:hint="default" w:ascii="Times New Roman" w:hAnsi="Times New Roman" w:eastAsia="仿宋_GB2312" w:cs="Times New Roman"/>
          <w:kern w:val="0"/>
          <w:sz w:val="32"/>
          <w:szCs w:val="32"/>
          <w:lang w:eastAsia="zh-CN"/>
        </w:rPr>
        <w:t>和谐</w:t>
      </w:r>
      <w:r>
        <w:rPr>
          <w:rFonts w:hint="default" w:ascii="Times New Roman" w:hAnsi="Times New Roman" w:eastAsia="仿宋_GB2312" w:cs="Times New Roman"/>
          <w:kern w:val="0"/>
          <w:sz w:val="32"/>
          <w:szCs w:val="32"/>
        </w:rPr>
        <w:t>稳定发展。</w:t>
      </w:r>
    </w:p>
    <w:p>
      <w:pPr>
        <w:numPr>
          <w:ilvl w:val="0"/>
          <w:numId w:val="2"/>
        </w:numPr>
        <w:adjustRightInd w:val="0"/>
        <w:snapToGrid w:val="0"/>
        <w:spacing w:line="60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起止时间。</w:t>
      </w:r>
    </w:p>
    <w:p>
      <w:pPr>
        <w:numPr>
          <w:ilvl w:val="0"/>
          <w:numId w:val="0"/>
        </w:numPr>
        <w:adjustRightInd w:val="0"/>
        <w:snapToGrid w:val="0"/>
        <w:spacing w:line="600" w:lineRule="exact"/>
        <w:ind w:leftChars="200"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2023年1月-2023年12月</w:t>
      </w:r>
    </w:p>
    <w:p>
      <w:pPr>
        <w:numPr>
          <w:ilvl w:val="0"/>
          <w:numId w:val="2"/>
        </w:numPr>
        <w:adjustRightInd w:val="0"/>
        <w:snapToGrid w:val="0"/>
        <w:spacing w:line="600" w:lineRule="exact"/>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项目内容。</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开展慈善助困、助学、助孤、助残、助老、赈灾等多方面的慈善救助。</w:t>
      </w:r>
    </w:p>
    <w:p>
      <w:pPr>
        <w:numPr>
          <w:ilvl w:val="0"/>
          <w:numId w:val="2"/>
        </w:numPr>
        <w:ind w:left="0" w:leftChars="0"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年度预算安排。</w:t>
      </w:r>
    </w:p>
    <w:p>
      <w:pPr>
        <w:numPr>
          <w:ilvl w:val="0"/>
          <w:numId w:val="0"/>
        </w:numPr>
        <w:ind w:firstLine="640" w:firstLineChars="200"/>
        <w:rPr>
          <w:rFonts w:hint="default" w:ascii="Times New Roman" w:hAnsi="Times New Roman" w:eastAsia="仿宋" w:cs="Times New Roman"/>
          <w:kern w:val="0"/>
          <w:sz w:val="32"/>
          <w:szCs w:val="32"/>
          <w:lang w:eastAsia="zh-CN"/>
        </w:rPr>
      </w:pPr>
      <w:r>
        <w:rPr>
          <w:rFonts w:hint="default" w:ascii="Times New Roman" w:hAnsi="Times New Roman" w:eastAsia="仿宋_GB2312" w:cs="Times New Roman"/>
          <w:kern w:val="0"/>
          <w:sz w:val="32"/>
          <w:szCs w:val="32"/>
        </w:rPr>
        <w:t>一是实施慈善助困“情暖万家”项目。慰问因病、因灾或遭遇意外不幸事故，导致家庭生活特别困难的城乡低保户、重点优抚对象等，今年出资30万元，爱心企业配套13万元慰问物资。二是实施“一帮一”助学项目。协会每年六一前，出资12万元对100名困难小学生每人每年资助1200元，帮助完成小学。三是实施慈善助医“阳光行动”。对患各种癌症的病人花费巨额医疗费用导致家庭生活特别困难的患者，每人一次性资助2000-3000元，帮助其 战胜病魔，救助资金4万元。四是实施慈善助学“爱心圆梦大学”项目。协会每年和团市委联合开展“爱心圆梦大学”希望工程助学项目，协会出资6</w:t>
      </w:r>
      <w:r>
        <w:rPr>
          <w:rFonts w:hint="eastAsia" w:ascii="Times New Roman" w:hAnsi="Times New Roman" w:eastAsia="仿宋_GB2312" w:cs="Times New Roman"/>
          <w:kern w:val="0"/>
          <w:sz w:val="32"/>
          <w:szCs w:val="32"/>
          <w:lang w:eastAsia="zh-CN"/>
        </w:rPr>
        <w:t>万元</w:t>
      </w:r>
      <w:r>
        <w:rPr>
          <w:rFonts w:hint="default" w:ascii="Times New Roman" w:hAnsi="Times New Roman" w:eastAsia="仿宋_GB2312" w:cs="Times New Roman"/>
          <w:kern w:val="0"/>
          <w:sz w:val="32"/>
          <w:szCs w:val="32"/>
        </w:rPr>
        <w:t>。五是开展慈善助老“情暖夕阳”项目。协会每年九九重阳节前夕，开展助老、助残活动，慰问三区一县困难敬老院和百岁老人，发放慰问款8万元。合计需60万元救助款。协会将积极筹措慈善资金，</w:t>
      </w:r>
      <w:r>
        <w:rPr>
          <w:rFonts w:hint="eastAsia" w:ascii="Times New Roman" w:hAnsi="Times New Roman" w:eastAsia="仿宋_GB2312" w:cs="Times New Roman"/>
          <w:kern w:val="0"/>
          <w:sz w:val="32"/>
          <w:szCs w:val="32"/>
          <w:lang w:eastAsia="zh-CN"/>
        </w:rPr>
        <w:t>鼓励</w:t>
      </w:r>
      <w:r>
        <w:rPr>
          <w:rFonts w:hint="default" w:ascii="Times New Roman" w:hAnsi="Times New Roman" w:eastAsia="仿宋_GB2312" w:cs="Times New Roman"/>
          <w:kern w:val="0"/>
          <w:sz w:val="32"/>
          <w:szCs w:val="32"/>
        </w:rPr>
        <w:t>企事业单位、爱心人士参与品牌救助项目</w:t>
      </w:r>
      <w:r>
        <w:rPr>
          <w:rFonts w:hint="default" w:ascii="Times New Roman" w:hAnsi="Times New Roman" w:eastAsia="仿宋_GB2312" w:cs="Times New Roman"/>
          <w:kern w:val="0"/>
          <w:sz w:val="32"/>
          <w:szCs w:val="32"/>
          <w:lang w:eastAsia="zh-CN"/>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color w:val="000000"/>
                <w:sz w:val="20"/>
                <w:szCs w:val="20"/>
              </w:rPr>
              <w:t>困难群体慈善救助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ind w:firstLine="200" w:firstLineChars="100"/>
              <w:jc w:val="left"/>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7577" w:type="dxa"/>
            <w:gridSpan w:val="4"/>
            <w:tcBorders>
              <w:tl2br w:val="nil"/>
              <w:tr2bl w:val="nil"/>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淮北市慈善协会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财政拨款</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pPr>
              <w:jc w:val="left"/>
              <w:rPr>
                <w:rFonts w:hint="default" w:ascii="Times New Roman" w:hAnsi="Times New Roman" w:cs="Times New Roman"/>
                <w:sz w:val="20"/>
              </w:rPr>
            </w:pPr>
            <w:r>
              <w:rPr>
                <w:rFonts w:hint="default" w:ascii="Times New Roman" w:hAnsi="Times New Roman" w:cs="Times New Roman"/>
                <w:sz w:val="20"/>
                <w:szCs w:val="20"/>
              </w:rPr>
              <w:t>按照文件要求完成慈善助困、助学、助老、助医等救助工作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春节救助困难群众800人，助医30人，助学100人</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确保年内完成各项救助工作</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加大宣传力度，通过媒体交流合作，由网络、报纸共同宣传平台</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成本指标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慈善救助</w:t>
            </w:r>
            <w:r>
              <w:rPr>
                <w:rFonts w:hint="eastAsia" w:ascii="Times New Roman" w:hAnsi="Times New Roman" w:cs="Times New Roman"/>
                <w:sz w:val="20"/>
                <w:szCs w:val="20"/>
                <w:lang w:eastAsia="zh-CN"/>
              </w:rPr>
              <w:t>困难群众</w:t>
            </w:r>
            <w:r>
              <w:rPr>
                <w:rFonts w:hint="default" w:ascii="Times New Roman" w:hAnsi="Times New Roman" w:cs="Times New Roman"/>
                <w:sz w:val="20"/>
                <w:szCs w:val="20"/>
              </w:rPr>
              <w:t>工作经费60万</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确保各项慈善活动规范有序，扩展渠道募捐，为开展更广泛的救助打下基础</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发动社会力量，特别是新型冠状病毒防控及河南赈灾时期，筹募款物，帮助更多的弱势群体</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生态效益指标</w:t>
            </w:r>
          </w:p>
        </w:tc>
        <w:tc>
          <w:tcPr>
            <w:tcW w:w="2872" w:type="dxa"/>
            <w:tcBorders>
              <w:tl2br w:val="nil"/>
              <w:tr2bl w:val="nil"/>
            </w:tcBorders>
            <w:vAlign w:val="center"/>
          </w:tcPr>
          <w:p>
            <w:pP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sz w:val="20"/>
                <w:szCs w:val="20"/>
              </w:rPr>
              <w:t>建设</w:t>
            </w:r>
            <w:r>
              <w:rPr>
                <w:rFonts w:hint="eastAsia" w:ascii="Times New Roman" w:hAnsi="Times New Roman" w:cs="Times New Roman"/>
                <w:sz w:val="20"/>
                <w:szCs w:val="20"/>
                <w:lang w:eastAsia="zh-CN"/>
              </w:rPr>
              <w:t>和谐社会</w:t>
            </w:r>
          </w:p>
          <w:p>
            <w:pPr>
              <w:widowControl/>
              <w:jc w:val="left"/>
              <w:textAlignment w:val="center"/>
              <w:rPr>
                <w:rFonts w:hint="default" w:ascii="Times New Roman" w:hAnsi="Times New Roman" w:cs="Times New Roman"/>
                <w:sz w:val="20"/>
              </w:rPr>
            </w:pP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可持续影响指标</w:t>
            </w:r>
          </w:p>
        </w:tc>
        <w:tc>
          <w:tcPr>
            <w:tcW w:w="2872" w:type="dxa"/>
            <w:tcBorders>
              <w:tl2br w:val="nil"/>
              <w:tr2bl w:val="nil"/>
            </w:tcBorders>
            <w:vAlign w:val="center"/>
          </w:tcPr>
          <w:p>
            <w:pP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color w:val="000000"/>
                <w:sz w:val="20"/>
                <w:szCs w:val="20"/>
              </w:rPr>
              <w:t>1.支持“社会慈善、社会捐赠、群众互助”等社会扶助活动.2.慈善救助是政府实施</w:t>
            </w:r>
            <w:r>
              <w:rPr>
                <w:rFonts w:hint="default" w:ascii="Times New Roman" w:hAnsi="Times New Roman" w:cs="Times New Roman"/>
                <w:color w:val="000000"/>
                <w:sz w:val="20"/>
                <w:szCs w:val="20"/>
                <w:lang w:eastAsia="zh-CN"/>
              </w:rPr>
              <w:t>脱</w:t>
            </w:r>
            <w:r>
              <w:rPr>
                <w:rFonts w:hint="default" w:ascii="Times New Roman" w:hAnsi="Times New Roman" w:cs="Times New Roman"/>
                <w:color w:val="000000"/>
                <w:sz w:val="20"/>
                <w:szCs w:val="20"/>
              </w:rPr>
              <w:t>贫攻坚的重要补充。</w:t>
            </w:r>
            <w:r>
              <w:rPr>
                <w:rFonts w:hint="default" w:ascii="Times New Roman" w:hAnsi="Times New Roman" w:cs="Times New Roman"/>
                <w:color w:val="000000"/>
                <w:sz w:val="20"/>
                <w:szCs w:val="20"/>
                <w:lang w:eastAsia="zh-CN"/>
              </w:rPr>
              <w:t>脱</w:t>
            </w:r>
            <w:r>
              <w:rPr>
                <w:rFonts w:hint="default" w:ascii="Times New Roman" w:hAnsi="Times New Roman" w:cs="Times New Roman"/>
                <w:color w:val="000000"/>
                <w:sz w:val="20"/>
                <w:szCs w:val="20"/>
              </w:rPr>
              <w:t>贫攻坚需要慈善协会和各种组织共同参与，形成全社会共同</w:t>
            </w:r>
            <w:r>
              <w:rPr>
                <w:rFonts w:hint="eastAsia" w:ascii="Times New Roman" w:hAnsi="Times New Roman" w:cs="Times New Roman"/>
                <w:color w:val="000000"/>
                <w:sz w:val="20"/>
                <w:szCs w:val="20"/>
                <w:lang w:eastAsia="zh-CN"/>
              </w:rPr>
              <w:t>参与</w:t>
            </w:r>
            <w:r>
              <w:rPr>
                <w:rFonts w:hint="default" w:ascii="Times New Roman" w:hAnsi="Times New Roman" w:cs="Times New Roman"/>
                <w:color w:val="000000"/>
                <w:sz w:val="20"/>
                <w:szCs w:val="20"/>
                <w:lang w:eastAsia="zh-CN"/>
              </w:rPr>
              <w:t>脱</w:t>
            </w:r>
            <w:r>
              <w:rPr>
                <w:rFonts w:hint="default" w:ascii="Times New Roman" w:hAnsi="Times New Roman" w:cs="Times New Roman"/>
                <w:color w:val="000000"/>
                <w:sz w:val="20"/>
                <w:szCs w:val="20"/>
              </w:rPr>
              <w:t>贫攻坚合力。3</w:t>
            </w:r>
            <w:r>
              <w:rPr>
                <w:rFonts w:hint="eastAsia" w:ascii="Times New Roman" w:hAnsi="Times New Roman" w:cs="Times New Roman"/>
                <w:color w:val="000000"/>
                <w:sz w:val="20"/>
                <w:szCs w:val="20"/>
                <w:lang w:eastAsia="zh-CN"/>
              </w:rPr>
              <w:t>有力</w:t>
            </w:r>
            <w:r>
              <w:rPr>
                <w:rFonts w:hint="default" w:ascii="Times New Roman" w:hAnsi="Times New Roman" w:cs="Times New Roman"/>
                <w:color w:val="000000"/>
                <w:sz w:val="20"/>
                <w:szCs w:val="20"/>
              </w:rPr>
              <w:t>发挥慈善协会贴近社会需求、帮助更多的困难群众。</w:t>
            </w:r>
          </w:p>
          <w:p>
            <w:pPr>
              <w:widowControl/>
              <w:jc w:val="left"/>
              <w:textAlignment w:val="center"/>
              <w:rPr>
                <w:rFonts w:hint="default" w:ascii="Times New Roman" w:hAnsi="Times New Roman" w:eastAsia="宋体" w:cs="Times New Roman"/>
                <w:sz w:val="20"/>
              </w:rPr>
            </w:pP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pP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指标1：</w:t>
            </w:r>
            <w:r>
              <w:rPr>
                <w:rFonts w:hint="default" w:ascii="Times New Roman" w:hAnsi="Times New Roman" w:cs="Times New Roman"/>
                <w:color w:val="000000"/>
                <w:sz w:val="20"/>
                <w:szCs w:val="20"/>
              </w:rPr>
              <w:t>通过宣传慈善理念，捐赠税收优惠政策以及所有信息公开透明，捐赠款物及时公布，受到群众满意。</w:t>
            </w:r>
          </w:p>
          <w:p>
            <w:pPr>
              <w:widowControl/>
              <w:jc w:val="left"/>
              <w:textAlignment w:val="center"/>
              <w:rPr>
                <w:rFonts w:hint="default" w:ascii="Times New Roman" w:hAnsi="Times New Roman" w:eastAsia="宋体" w:cs="Times New Roman"/>
                <w:sz w:val="20"/>
              </w:rPr>
            </w:pP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完成</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2、“社会养老机构建设及运营补贴”项目。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color w:val="auto"/>
          <w:sz w:val="32"/>
          <w:szCs w:val="32"/>
          <w:lang w:eastAsia="zh-CN"/>
        </w:rPr>
        <w:t>为市辖三区的社会养老机构建设和运营提供补贴。</w:t>
      </w:r>
      <w:r>
        <w:rPr>
          <w:rFonts w:hint="default" w:ascii="Times New Roman" w:hAnsi="Times New Roman" w:eastAsia="仿宋_GB2312" w:cs="Times New Roman"/>
          <w:color w:val="auto"/>
          <w:sz w:val="32"/>
          <w:szCs w:val="32"/>
        </w:rPr>
        <w:t>运营补贴：</w:t>
      </w:r>
      <w:r>
        <w:rPr>
          <w:rFonts w:hint="default" w:ascii="Times New Roman" w:hAnsi="Times New Roman" w:eastAsia="仿宋_GB2312" w:cs="Times New Roman"/>
          <w:color w:val="auto"/>
          <w:sz w:val="32"/>
          <w:szCs w:val="32"/>
          <w:lang w:val="en-US" w:eastAsia="zh-CN"/>
        </w:rPr>
        <w:t>三区民办养老机构按照社会办养老机构运营补助标准发放，对已建成并投入运营的养老机构根据实际入住的人数给予运营补贴（不含自理老人）</w:t>
      </w:r>
      <w:r>
        <w:rPr>
          <w:rFonts w:hint="eastAsia" w:ascii="Times New Roman" w:hAnsi="Times New Roman" w:eastAsia="仿宋_GB2312" w:cs="Times New Roman"/>
          <w:color w:val="auto"/>
          <w:sz w:val="32"/>
          <w:szCs w:val="32"/>
          <w:lang w:val="en-US" w:eastAsia="zh-CN"/>
        </w:rPr>
        <w:t>。</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eastAsia="zh-CN"/>
        </w:rPr>
        <w:t>为民生工程任务。淮民社救〔2022〕5号：关于印发《淮北市城乡居民最低生活保障实施方案》等七项民生工程实施方案的通知。</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color w:val="auto"/>
          <w:sz w:val="32"/>
          <w:szCs w:val="32"/>
        </w:rPr>
        <w:t>养老服务科</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3.12</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实施社会养老服务体系建设民生工程，按时完成民办养老机构运营补助发放任务。</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338万元</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sz w:val="32"/>
          <w:szCs w:val="32"/>
          <w:lang w:eastAsia="zh-CN"/>
        </w:rPr>
        <w:t>不断丰富老年人的物质精神生活，有效增加社会养老服务床位，落实一次性建设补助、运营补助政策发放，提升社会办养老机构管理运营水平。</w:t>
      </w:r>
    </w:p>
    <w:p>
      <w:pPr>
        <w:ind w:firstLine="640" w:firstLineChars="200"/>
        <w:rPr>
          <w:rFonts w:hint="default" w:ascii="Times New Roman" w:hAnsi="Times New Roman" w:eastAsia="仿宋_GB2312" w:cs="Times New Roman"/>
          <w:kern w:val="0"/>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000000"/>
                <w:sz w:val="20"/>
                <w:szCs w:val="20"/>
              </w:rPr>
              <w:t>社会养老机构建设及运营补贴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ind w:firstLine="200" w:firstLineChars="100"/>
              <w:jc w:val="left"/>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7577" w:type="dxa"/>
            <w:gridSpan w:val="4"/>
            <w:tcBorders>
              <w:tl2br w:val="nil"/>
              <w:tr2bl w:val="nil"/>
            </w:tcBorders>
            <w:vAlign w:val="center"/>
          </w:tcPr>
          <w:p>
            <w:pPr>
              <w:jc w:val="center"/>
              <w:rPr>
                <w:rFonts w:hint="default" w:ascii="Times New Roman" w:hAnsi="Times New Roman" w:cs="Times New Roman" w:eastAsiaTheme="minorEastAsia"/>
                <w:color w:val="000000"/>
                <w:kern w:val="2"/>
                <w:sz w:val="20"/>
                <w:szCs w:val="20"/>
                <w:lang w:val="en-US" w:eastAsia="zh-CN" w:bidi="ar-SA"/>
              </w:rPr>
            </w:pPr>
            <w:r>
              <w:rPr>
                <w:rFonts w:hint="default" w:ascii="Times New Roman" w:hAnsi="Times New Roman" w:cs="Times New Roman"/>
                <w:color w:val="auto"/>
                <w:sz w:val="20"/>
                <w:szCs w:val="20"/>
              </w:rPr>
              <w:t>养老服务科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财政拨款</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pPr>
              <w:jc w:val="left"/>
              <w:rPr>
                <w:rFonts w:hint="default" w:ascii="Times New Roman" w:hAnsi="Times New Roman" w:cs="Times New Roman"/>
                <w:sz w:val="20"/>
              </w:rPr>
            </w:pPr>
            <w:r>
              <w:rPr>
                <w:rFonts w:hint="default" w:ascii="Times New Roman" w:hAnsi="Times New Roman" w:cs="Times New Roman"/>
                <w:sz w:val="20"/>
                <w:szCs w:val="20"/>
                <w:lang w:eastAsia="zh-CN"/>
              </w:rPr>
              <w:t>不断丰富老年人的物质精神生活，有效增加社会养老服务床位，落实一次性建设补助、运营补助政策发放，提升社会办养老机构管理运营水平。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绩</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效</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一级</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二级指标</w:t>
            </w:r>
          </w:p>
        </w:tc>
        <w:tc>
          <w:tcPr>
            <w:tcW w:w="2872" w:type="dxa"/>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数量指标</w:t>
            </w:r>
          </w:p>
        </w:tc>
        <w:tc>
          <w:tcPr>
            <w:tcW w:w="2872" w:type="dxa"/>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cs="Times New Roman"/>
                <w:color w:val="auto"/>
                <w:sz w:val="20"/>
                <w:szCs w:val="20"/>
                <w:lang w:val="en-US" w:eastAsia="zh-CN"/>
              </w:rPr>
              <w:t>三区的民办养老机构</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color w:val="auto"/>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质量指标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eastAsia="宋体" w:cs="Times New Roman"/>
                <w:sz w:val="20"/>
                <w:szCs w:val="20"/>
                <w:lang w:val="en-US" w:eastAsia="zh-CN"/>
              </w:rPr>
              <w:t>有效增加社会养老服务床位，落实一次性建设补助、</w:t>
            </w:r>
            <w:r>
              <w:rPr>
                <w:rFonts w:hint="default" w:ascii="Times New Roman" w:hAnsi="Times New Roman" w:cs="Times New Roman"/>
                <w:sz w:val="20"/>
                <w:szCs w:val="20"/>
                <w:lang w:val="en-US" w:eastAsia="zh-CN"/>
              </w:rPr>
              <w:t>发放</w:t>
            </w:r>
            <w:r>
              <w:rPr>
                <w:rFonts w:hint="default" w:ascii="Times New Roman" w:hAnsi="Times New Roman" w:eastAsia="宋体" w:cs="Times New Roman"/>
                <w:sz w:val="20"/>
                <w:szCs w:val="20"/>
                <w:lang w:val="en-US" w:eastAsia="zh-CN"/>
              </w:rPr>
              <w:t>运营补助</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时效指标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及时发放各类资金</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经济效益指标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rPr>
              <w:t xml:space="preserve"> 拉动社会资本投入社会办养老机构资金</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vMerge w:val="continue"/>
            <w:tcBorders>
              <w:tl2br w:val="nil"/>
              <w:tr2bl w:val="nil"/>
            </w:tcBorders>
            <w:vAlign w:val="center"/>
          </w:tcPr>
          <w:p>
            <w:pPr>
              <w:jc w:val="center"/>
              <w:rPr>
                <w:rFonts w:hint="default" w:ascii="Times New Roman" w:hAnsi="Times New Roman" w:cs="Times New Roman"/>
                <w:sz w:val="20"/>
              </w:rPr>
            </w:pPr>
          </w:p>
        </w:tc>
        <w:tc>
          <w:tcPr>
            <w:tcW w:w="759" w:type="dxa"/>
            <w:gridSpan w:val="2"/>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社会效益指标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丰富老年人物质精神活动，促进养老产业发展</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759" w:type="dxa"/>
            <w:gridSpan w:val="2"/>
            <w:tcBorders>
              <w:tl2br w:val="nil"/>
              <w:tr2bl w:val="nil"/>
            </w:tcBorders>
            <w:vAlign w:val="center"/>
          </w:tcPr>
          <w:p>
            <w:pPr>
              <w:widowControl/>
              <w:spacing w:line="200" w:lineRule="exact"/>
              <w:jc w:val="center"/>
              <w:rPr>
                <w:rFonts w:hint="default" w:ascii="Times New Roman" w:hAnsi="Times New Roman" w:eastAsia="宋体" w:cs="Times New Roman"/>
                <w:sz w:val="20"/>
              </w:rPr>
            </w:pPr>
            <w:r>
              <w:rPr>
                <w:rFonts w:hint="default" w:ascii="Times New Roman" w:hAnsi="Times New Roman" w:eastAsia="宋体" w:cs="Times New Roman"/>
                <w:sz w:val="20"/>
              </w:rPr>
              <w:t>满意度指标</w:t>
            </w:r>
          </w:p>
        </w:tc>
        <w:tc>
          <w:tcPr>
            <w:tcW w:w="2872" w:type="dxa"/>
            <w:tcBorders>
              <w:tl2br w:val="nil"/>
              <w:tr2bl w:val="nil"/>
            </w:tcBorders>
            <w:vAlign w:val="center"/>
          </w:tcPr>
          <w:p>
            <w:pPr>
              <w:rPr>
                <w:rFonts w:hint="default" w:ascii="Times New Roman" w:hAnsi="Times New Roman" w:eastAsia="宋体" w:cs="Times New Roman"/>
                <w:sz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社会养老机构满意度高，老年群体十分满意</w:t>
            </w:r>
          </w:p>
        </w:tc>
        <w:tc>
          <w:tcPr>
            <w:tcW w:w="4228" w:type="dxa"/>
            <w:gridSpan w:val="2"/>
            <w:tcBorders>
              <w:tl2br w:val="nil"/>
              <w:tr2bl w:val="nil"/>
            </w:tcBorders>
            <w:vAlign w:val="center"/>
          </w:tcPr>
          <w:p>
            <w:pPr>
              <w:jc w:val="both"/>
              <w:rPr>
                <w:rFonts w:hint="default" w:ascii="Times New Roman" w:hAnsi="Times New Roman" w:cs="Times New Roman"/>
                <w:sz w:val="20"/>
              </w:rPr>
            </w:pPr>
            <w:r>
              <w:rPr>
                <w:rFonts w:hint="default" w:ascii="Times New Roman" w:hAnsi="Times New Roman" w:cs="Times New Roman"/>
                <w:sz w:val="20"/>
                <w:szCs w:val="20"/>
                <w:lang w:val="en-US" w:eastAsia="zh-CN"/>
              </w:rPr>
              <w:t>10</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、“80岁以上老年人高龄津贴”项目。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80岁以上老年人</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rPr>
        <w:t>高龄津贴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年8月，</w:t>
      </w:r>
      <w:r>
        <w:rPr>
          <w:rFonts w:hint="default" w:ascii="Times New Roman" w:hAnsi="Times New Roman" w:eastAsia="仿宋_GB2312" w:cs="Times New Roman"/>
          <w:sz w:val="32"/>
          <w:szCs w:val="32"/>
          <w:lang w:eastAsia="zh-CN"/>
        </w:rPr>
        <w:t>市辖三区</w:t>
      </w:r>
      <w:r>
        <w:rPr>
          <w:rFonts w:hint="default" w:ascii="Times New Roman" w:hAnsi="Times New Roman" w:eastAsia="仿宋_GB2312" w:cs="Times New Roman"/>
          <w:sz w:val="32"/>
          <w:szCs w:val="32"/>
        </w:rPr>
        <w:t>符合条件的80岁以上老年人高龄津贴共计</w:t>
      </w:r>
      <w:r>
        <w:rPr>
          <w:rFonts w:hint="default" w:ascii="Times New Roman" w:hAnsi="Times New Roman" w:eastAsia="仿宋_GB2312" w:cs="Times New Roman"/>
          <w:sz w:val="32"/>
          <w:szCs w:val="32"/>
          <w:lang w:val="en-US" w:eastAsia="zh-CN"/>
        </w:rPr>
        <w:t>29922</w:t>
      </w:r>
      <w:r>
        <w:rPr>
          <w:rFonts w:hint="default" w:ascii="Times New Roman" w:hAnsi="Times New Roman" w:eastAsia="仿宋_GB2312" w:cs="Times New Roman"/>
          <w:sz w:val="32"/>
          <w:szCs w:val="32"/>
        </w:rPr>
        <w:t>人，按照每人每月40元标准，</w:t>
      </w:r>
      <w:r>
        <w:rPr>
          <w:rFonts w:hint="default" w:ascii="Times New Roman" w:hAnsi="Times New Roman" w:eastAsia="仿宋_GB2312" w:cs="Times New Roman"/>
          <w:sz w:val="32"/>
          <w:szCs w:val="32"/>
          <w:lang w:val="en-US" w:eastAsia="zh-CN"/>
        </w:rPr>
        <w:t>40*12*29922=1436.256万元</w:t>
      </w:r>
      <w:r>
        <w:rPr>
          <w:rFonts w:hint="default" w:ascii="Times New Roman" w:hAnsi="Times New Roman" w:eastAsia="仿宋_GB2312" w:cs="Times New Roman"/>
          <w:sz w:val="32"/>
          <w:szCs w:val="32"/>
        </w:rPr>
        <w:t>；百岁老人</w:t>
      </w:r>
      <w:r>
        <w:rPr>
          <w:rFonts w:hint="default" w:ascii="Times New Roman" w:hAnsi="Times New Roman" w:eastAsia="仿宋_GB2312" w:cs="Times New Roman"/>
          <w:sz w:val="32"/>
          <w:szCs w:val="32"/>
          <w:lang w:val="en-US" w:eastAsia="zh-CN"/>
        </w:rPr>
        <w:t>140</w:t>
      </w:r>
      <w:r>
        <w:rPr>
          <w:rFonts w:hint="default" w:ascii="Times New Roman" w:hAnsi="Times New Roman" w:eastAsia="仿宋_GB2312" w:cs="Times New Roman"/>
          <w:sz w:val="32"/>
          <w:szCs w:val="32"/>
        </w:rPr>
        <w:t>人，每人每月600元，600*12</w:t>
      </w:r>
      <w:r>
        <w:rPr>
          <w:rFonts w:hint="default" w:ascii="Times New Roman" w:hAnsi="Times New Roman" w:eastAsia="仿宋_GB2312" w:cs="Times New Roman"/>
          <w:sz w:val="32"/>
          <w:szCs w:val="32"/>
          <w:lang w:val="en-US" w:eastAsia="zh-CN"/>
        </w:rPr>
        <w:t>*140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100.8</w:t>
      </w:r>
      <w:r>
        <w:rPr>
          <w:rFonts w:hint="default" w:ascii="Times New Roman" w:hAnsi="Times New Roman" w:eastAsia="仿宋_GB2312" w:cs="Times New Roman"/>
          <w:sz w:val="32"/>
          <w:szCs w:val="32"/>
        </w:rPr>
        <w:t>万元，两项合计</w:t>
      </w:r>
      <w:r>
        <w:rPr>
          <w:rFonts w:hint="default" w:ascii="Times New Roman" w:hAnsi="Times New Roman" w:eastAsia="仿宋_GB2312" w:cs="Times New Roman"/>
          <w:sz w:val="32"/>
          <w:szCs w:val="32"/>
          <w:lang w:val="en-US" w:eastAsia="zh-CN"/>
        </w:rPr>
        <w:t>1537.056</w:t>
      </w:r>
      <w:r>
        <w:rPr>
          <w:rFonts w:hint="default" w:ascii="Times New Roman" w:hAnsi="Times New Roman" w:eastAsia="仿宋_GB2312" w:cs="Times New Roman"/>
          <w:sz w:val="32"/>
          <w:szCs w:val="32"/>
        </w:rPr>
        <w:t>万元，市、区财政按3:7的比例补助，市财政补贴</w:t>
      </w:r>
      <w:r>
        <w:rPr>
          <w:rFonts w:hint="default" w:ascii="Times New Roman" w:hAnsi="Times New Roman" w:eastAsia="仿宋_GB2312" w:cs="Times New Roman"/>
          <w:sz w:val="32"/>
          <w:szCs w:val="32"/>
          <w:lang w:val="en-US" w:eastAsia="zh-CN"/>
        </w:rPr>
        <w:t>462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val="en-US" w:eastAsia="zh-CN"/>
        </w:rPr>
        <w:t>为民生工程任务。</w:t>
      </w:r>
      <w:r>
        <w:rPr>
          <w:rFonts w:hint="eastAsia"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《淮北市人民政府关于调整我市高龄津贴标准的通知》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淮政秘〔2019〕39号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lang w:eastAsia="zh-CN"/>
        </w:rPr>
        <w:t>淮民社救〔2022〕5号：关于印发《淮北市城乡居民最低生活保障实施方案》等七项民生工程实施方案的通知、</w:t>
      </w:r>
      <w:r>
        <w:rPr>
          <w:rFonts w:hint="eastAsia" w:ascii="Times New Roman" w:hAnsi="Times New Roman" w:eastAsia="仿宋_GB2312" w:cs="Times New Roman"/>
          <w:sz w:val="32"/>
          <w:szCs w:val="32"/>
          <w:lang w:val="en-US" w:eastAsia="zh-CN"/>
        </w:rPr>
        <w:t>③</w:t>
      </w:r>
      <w:r>
        <w:rPr>
          <w:rFonts w:hint="default" w:ascii="Times New Roman" w:hAnsi="Times New Roman" w:eastAsia="仿宋_GB2312" w:cs="Times New Roman"/>
          <w:sz w:val="32"/>
          <w:szCs w:val="32"/>
          <w:lang w:eastAsia="zh-CN"/>
        </w:rPr>
        <w:t>安徽省财政厅《养老服务和智慧养老实施方案》。</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rPr>
        <w:t>养老服务科</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3.12</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80岁以上老年人</w:t>
      </w:r>
      <w:r>
        <w:rPr>
          <w:rFonts w:hint="default" w:ascii="Times New Roman" w:hAnsi="Times New Roman" w:eastAsia="仿宋_GB2312" w:cs="Times New Roman"/>
          <w:sz w:val="32"/>
          <w:szCs w:val="32"/>
          <w:lang w:eastAsia="zh-CN"/>
        </w:rPr>
        <w:t>发放</w:t>
      </w:r>
      <w:r>
        <w:rPr>
          <w:rFonts w:hint="default" w:ascii="Times New Roman" w:hAnsi="Times New Roman" w:eastAsia="仿宋_GB2312" w:cs="Times New Roman"/>
          <w:sz w:val="32"/>
          <w:szCs w:val="32"/>
        </w:rPr>
        <w:t>高龄津贴补贴</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sz w:val="32"/>
          <w:szCs w:val="32"/>
          <w:lang w:val="en-US" w:eastAsia="zh-CN"/>
        </w:rPr>
        <w:t>462</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sz w:val="32"/>
          <w:szCs w:val="32"/>
          <w:lang w:eastAsia="zh-CN"/>
        </w:rPr>
        <w:t>按照序时进度为三区符合高龄津贴条件的80岁以上老年人，每月进行100%的全覆盖发放。政策受益群体满意度高，社会效益显著，密切党群关系，提升党和政府在群众中的公信力和号召力。</w:t>
      </w:r>
    </w:p>
    <w:tbl>
      <w:tblPr>
        <w:tblStyle w:val="10"/>
        <w:tblW w:w="9020" w:type="dxa"/>
        <w:tblInd w:w="93" w:type="dxa"/>
        <w:tblLayout w:type="fixed"/>
        <w:tblCellMar>
          <w:top w:w="0" w:type="dxa"/>
          <w:left w:w="108" w:type="dxa"/>
          <w:bottom w:w="0" w:type="dxa"/>
          <w:right w:w="108" w:type="dxa"/>
        </w:tblCellMar>
      </w:tblPr>
      <w:tblGrid>
        <w:gridCol w:w="375"/>
        <w:gridCol w:w="41"/>
        <w:gridCol w:w="820"/>
        <w:gridCol w:w="940"/>
        <w:gridCol w:w="2000"/>
        <w:gridCol w:w="860"/>
        <w:gridCol w:w="92"/>
        <w:gridCol w:w="699"/>
        <w:gridCol w:w="889"/>
        <w:gridCol w:w="358"/>
        <w:gridCol w:w="682"/>
        <w:gridCol w:w="623"/>
        <w:gridCol w:w="641"/>
      </w:tblGrid>
      <w:tr>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（202</w:t>
            </w:r>
            <w:r>
              <w:rPr>
                <w:rFonts w:hint="default" w:ascii="Times New Roman" w:hAnsi="Times New Roman" w:cs="Times New Roman"/>
                <w:sz w:val="20"/>
                <w:szCs w:val="20"/>
                <w:lang w:val="en-US" w:eastAsia="zh-CN"/>
              </w:rPr>
              <w:t>3</w:t>
            </w:r>
            <w:r>
              <w:rPr>
                <w:rFonts w:hint="default" w:ascii="Times New Roman" w:hAnsi="Times New Roman" w:cs="Times New Roman"/>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项目名称</w:t>
            </w:r>
          </w:p>
        </w:tc>
        <w:tc>
          <w:tcPr>
            <w:tcW w:w="7784" w:type="dxa"/>
            <w:gridSpan w:val="10"/>
            <w:tcBorders>
              <w:top w:val="single" w:color="auto" w:sz="4" w:space="0"/>
              <w:left w:val="nil"/>
              <w:bottom w:val="single" w:color="auto" w:sz="4" w:space="0"/>
              <w:right w:val="single" w:color="000000" w:sz="4" w:space="0"/>
            </w:tcBorders>
            <w:noWrap w:val="0"/>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80岁以上老年人高龄津贴</w:t>
            </w:r>
          </w:p>
        </w:tc>
      </w:tr>
      <w:tr>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实施单位</w:t>
            </w:r>
          </w:p>
        </w:tc>
        <w:tc>
          <w:tcPr>
            <w:tcW w:w="7784" w:type="dxa"/>
            <w:gridSpan w:val="10"/>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宋体" w:cs="Times New Roman"/>
                <w:color w:val="000000"/>
                <w:kern w:val="0"/>
                <w:sz w:val="20"/>
                <w:szCs w:val="20"/>
              </w:rPr>
              <w:t>项目来源</w:t>
            </w:r>
          </w:p>
        </w:tc>
        <w:tc>
          <w:tcPr>
            <w:tcW w:w="3892"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财政拨款</w:t>
            </w:r>
          </w:p>
        </w:tc>
        <w:tc>
          <w:tcPr>
            <w:tcW w:w="1946" w:type="dxa"/>
            <w:gridSpan w:val="3"/>
            <w:tcBorders>
              <w:top w:val="single" w:color="auto" w:sz="4" w:space="0"/>
              <w:left w:val="nil"/>
              <w:bottom w:val="single" w:color="auto" w:sz="4" w:space="0"/>
              <w:right w:val="single" w:color="auto" w:sz="4" w:space="0"/>
            </w:tcBorders>
            <w:noWrap w:val="0"/>
            <w:vAlign w:val="center"/>
          </w:tcPr>
          <w:p>
            <w:pPr>
              <w:widowControl/>
              <w:jc w:val="center"/>
              <w:textAlignment w:val="cente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项目期</w:t>
            </w:r>
          </w:p>
        </w:tc>
        <w:tc>
          <w:tcPr>
            <w:tcW w:w="1946"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lang w:val="en-US" w:eastAsia="zh-CN"/>
              </w:rPr>
              <w:t>1年</w:t>
            </w:r>
          </w:p>
        </w:tc>
      </w:tr>
      <w:tr>
        <w:tblPrEx>
          <w:tblCellMar>
            <w:top w:w="0" w:type="dxa"/>
            <w:left w:w="108" w:type="dxa"/>
            <w:bottom w:w="0" w:type="dxa"/>
            <w:right w:w="108" w:type="dxa"/>
          </w:tblCellMar>
        </w:tblPrEx>
        <w:trPr>
          <w:trHeight w:val="330" w:hRule="atLeast"/>
        </w:trPr>
        <w:tc>
          <w:tcPr>
            <w:tcW w:w="1236" w:type="dxa"/>
            <w:gridSpan w:val="3"/>
            <w:vMerge w:val="restart"/>
            <w:tcBorders>
              <w:top w:val="single" w:color="auto" w:sz="4" w:space="0"/>
              <w:left w:val="single" w:color="auto" w:sz="4" w:space="0"/>
              <w:right w:val="single" w:color="000000"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892" w:type="dxa"/>
            <w:gridSpan w:val="4"/>
            <w:tcBorders>
              <w:top w:val="nil"/>
              <w:left w:val="nil"/>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 xml:space="preserve"> 年度资金总额：</w:t>
            </w:r>
          </w:p>
        </w:tc>
        <w:tc>
          <w:tcPr>
            <w:tcW w:w="3892" w:type="dxa"/>
            <w:gridSpan w:val="6"/>
            <w:tcBorders>
              <w:top w:val="nil"/>
              <w:left w:val="nil"/>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462</w:t>
            </w:r>
          </w:p>
        </w:tc>
      </w:tr>
      <w:tr>
        <w:tblPrEx>
          <w:tblCellMar>
            <w:top w:w="0" w:type="dxa"/>
            <w:left w:w="108" w:type="dxa"/>
            <w:bottom w:w="0" w:type="dxa"/>
            <w:right w:w="108" w:type="dxa"/>
          </w:tblCellMar>
        </w:tblPrEx>
        <w:trPr>
          <w:trHeight w:val="330" w:hRule="atLeast"/>
        </w:trPr>
        <w:tc>
          <w:tcPr>
            <w:tcW w:w="123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Times New Roman" w:hAnsi="Times New Roman" w:cs="Times New Roman"/>
                <w:sz w:val="20"/>
                <w:szCs w:val="20"/>
              </w:rPr>
            </w:pPr>
          </w:p>
        </w:tc>
        <w:tc>
          <w:tcPr>
            <w:tcW w:w="3892" w:type="dxa"/>
            <w:gridSpan w:val="4"/>
            <w:tcBorders>
              <w:top w:val="nil"/>
              <w:left w:val="nil"/>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 xml:space="preserve">   其中：财政拨款</w:t>
            </w:r>
          </w:p>
        </w:tc>
        <w:tc>
          <w:tcPr>
            <w:tcW w:w="3892" w:type="dxa"/>
            <w:gridSpan w:val="6"/>
            <w:tcBorders>
              <w:top w:val="nil"/>
              <w:left w:val="nil"/>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462</w:t>
            </w:r>
          </w:p>
        </w:tc>
      </w:tr>
      <w:tr>
        <w:tblPrEx>
          <w:tblCellMar>
            <w:top w:w="0" w:type="dxa"/>
            <w:left w:w="108" w:type="dxa"/>
            <w:bottom w:w="0" w:type="dxa"/>
            <w:right w:w="108" w:type="dxa"/>
          </w:tblCellMar>
        </w:tblPrEx>
        <w:trPr>
          <w:trHeight w:val="330" w:hRule="atLeast"/>
        </w:trPr>
        <w:tc>
          <w:tcPr>
            <w:tcW w:w="1236" w:type="dxa"/>
            <w:gridSpan w:val="3"/>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389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上年结转</w:t>
            </w:r>
          </w:p>
        </w:tc>
        <w:tc>
          <w:tcPr>
            <w:tcW w:w="389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330" w:hRule="atLeast"/>
        </w:trPr>
        <w:tc>
          <w:tcPr>
            <w:tcW w:w="1236" w:type="dxa"/>
            <w:gridSpan w:val="3"/>
            <w:vMerge w:val="continue"/>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p>
        </w:tc>
        <w:tc>
          <w:tcPr>
            <w:tcW w:w="389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 xml:space="preserve">        </w:t>
            </w:r>
            <w:r>
              <w:rPr>
                <w:rFonts w:hint="default"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其他资金</w:t>
            </w:r>
          </w:p>
        </w:tc>
        <w:tc>
          <w:tcPr>
            <w:tcW w:w="3892"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宋体" w:cs="Times New Roman"/>
                <w:color w:val="000000"/>
                <w:kern w:val="0"/>
                <w:sz w:val="20"/>
                <w:szCs w:val="20"/>
              </w:rPr>
            </w:pPr>
          </w:p>
        </w:tc>
      </w:tr>
      <w:tr>
        <w:tblPrEx>
          <w:tblCellMar>
            <w:top w:w="0" w:type="dxa"/>
            <w:left w:w="108" w:type="dxa"/>
            <w:bottom w:w="0" w:type="dxa"/>
            <w:right w:w="108" w:type="dxa"/>
          </w:tblCellMar>
        </w:tblPrEx>
        <w:trPr>
          <w:trHeight w:val="660" w:hRule="atLeast"/>
        </w:trPr>
        <w:tc>
          <w:tcPr>
            <w:tcW w:w="375"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textAlignment w:val="center"/>
              <w:rPr>
                <w:rFonts w:hint="default" w:ascii="Times New Roman" w:hAnsi="Times New Roman" w:cs="Times New Roman"/>
                <w:sz w:val="20"/>
                <w:szCs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645" w:type="dxa"/>
            <w:gridSpan w:val="12"/>
            <w:tcBorders>
              <w:top w:val="single" w:color="auto" w:sz="4" w:space="0"/>
              <w:left w:val="nil"/>
              <w:bottom w:val="single" w:color="auto" w:sz="4" w:space="0"/>
              <w:right w:val="single" w:color="auto" w:sz="4" w:space="0"/>
            </w:tcBorders>
            <w:noWrap w:val="0"/>
            <w:vAlign w:val="center"/>
          </w:tcPr>
          <w:p>
            <w:pPr>
              <w:jc w:val="left"/>
              <w:rPr>
                <w:rFonts w:hint="default" w:ascii="Times New Roman" w:hAnsi="Times New Roman" w:cs="Times New Roman"/>
                <w:sz w:val="20"/>
                <w:szCs w:val="20"/>
              </w:rPr>
            </w:pPr>
            <w:r>
              <w:rPr>
                <w:rFonts w:hint="default" w:ascii="Times New Roman" w:hAnsi="Times New Roman" w:cs="Times New Roman"/>
                <w:sz w:val="20"/>
                <w:szCs w:val="20"/>
              </w:rPr>
              <w:t>按照文件要求完成慈善助困、助学、助老、助医等救助工作</w:t>
            </w:r>
          </w:p>
        </w:tc>
      </w:tr>
      <w:tr>
        <w:tblPrEx>
          <w:tblCellMar>
            <w:top w:w="0" w:type="dxa"/>
            <w:left w:w="108" w:type="dxa"/>
            <w:bottom w:w="0" w:type="dxa"/>
            <w:right w:w="108" w:type="dxa"/>
          </w:tblCellMar>
        </w:tblPrEx>
        <w:trPr>
          <w:trHeight w:val="830" w:hRule="atLeast"/>
        </w:trPr>
        <w:tc>
          <w:tcPr>
            <w:tcW w:w="416"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绩</w:t>
            </w:r>
            <w:r>
              <w:rPr>
                <w:rFonts w:hint="default" w:ascii="Times New Roman" w:hAnsi="Times New Roman" w:cs="Times New Roman"/>
                <w:sz w:val="20"/>
                <w:szCs w:val="20"/>
              </w:rPr>
              <w:br w:type="textWrapping"/>
            </w:r>
            <w:r>
              <w:rPr>
                <w:rFonts w:hint="default" w:ascii="Times New Roman" w:hAnsi="Times New Roman" w:cs="Times New Roman"/>
                <w:sz w:val="20"/>
                <w:szCs w:val="20"/>
              </w:rPr>
              <w:t>效</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820" w:type="dxa"/>
            <w:tcBorders>
              <w:top w:val="single" w:color="auto" w:sz="4" w:space="0"/>
              <w:left w:val="nil"/>
              <w:bottom w:val="nil"/>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一级</w:t>
            </w:r>
            <w:r>
              <w:rPr>
                <w:rFonts w:hint="default" w:ascii="Times New Roman" w:hAnsi="Times New Roman" w:cs="Times New Roman"/>
                <w:sz w:val="20"/>
                <w:szCs w:val="20"/>
              </w:rPr>
              <w:br w:type="textWrapping"/>
            </w:r>
            <w:r>
              <w:rPr>
                <w:rFonts w:hint="default" w:ascii="Times New Roman" w:hAnsi="Times New Roman" w:cs="Times New Roman"/>
                <w:sz w:val="20"/>
                <w:szCs w:val="20"/>
              </w:rPr>
              <w:t>指标</w:t>
            </w:r>
          </w:p>
        </w:tc>
        <w:tc>
          <w:tcPr>
            <w:tcW w:w="94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三级指标</w:t>
            </w:r>
          </w:p>
        </w:tc>
        <w:tc>
          <w:tcPr>
            <w:tcW w:w="86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指标值</w:t>
            </w:r>
          </w:p>
        </w:tc>
        <w:tc>
          <w:tcPr>
            <w:tcW w:w="79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绩效标准</w:t>
            </w:r>
          </w:p>
        </w:tc>
        <w:tc>
          <w:tcPr>
            <w:tcW w:w="889"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1040" w:type="dxa"/>
            <w:gridSpan w:val="2"/>
            <w:tcBorders>
              <w:top w:val="single" w:color="auto" w:sz="4" w:space="0"/>
              <w:left w:val="nil"/>
              <w:bottom w:val="single" w:color="auto" w:sz="4" w:space="0"/>
              <w:right w:val="nil"/>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指标值</w:t>
            </w:r>
          </w:p>
        </w:tc>
        <w:tc>
          <w:tcPr>
            <w:tcW w:w="641"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绩效标准</w:t>
            </w:r>
          </w:p>
        </w:tc>
      </w:tr>
      <w:tr>
        <w:tblPrEx>
          <w:tblCellMar>
            <w:top w:w="0" w:type="dxa"/>
            <w:left w:w="108" w:type="dxa"/>
            <w:bottom w:w="0" w:type="dxa"/>
            <w:right w:w="108" w:type="dxa"/>
          </w:tblCellMar>
        </w:tblPrEx>
        <w:trPr>
          <w:trHeight w:val="315" w:hRule="atLeast"/>
        </w:trPr>
        <w:tc>
          <w:tcPr>
            <w:tcW w:w="416" w:type="dxa"/>
            <w:gridSpan w:val="2"/>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产</w:t>
            </w:r>
            <w:r>
              <w:rPr>
                <w:rFonts w:hint="default" w:ascii="Times New Roman" w:hAnsi="Times New Roman" w:cs="Times New Roman"/>
                <w:sz w:val="20"/>
                <w:szCs w:val="20"/>
              </w:rPr>
              <w:br w:type="textWrapping"/>
            </w:r>
            <w:r>
              <w:rPr>
                <w:rFonts w:hint="default" w:ascii="Times New Roman" w:hAnsi="Times New Roman" w:cs="Times New Roman"/>
                <w:sz w:val="20"/>
                <w:szCs w:val="20"/>
              </w:rPr>
              <w:t>出</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市辖三区符合条件的</w:t>
            </w:r>
            <w:r>
              <w:rPr>
                <w:rFonts w:hint="default" w:ascii="Times New Roman" w:hAnsi="Times New Roman" w:cs="Times New Roman"/>
                <w:sz w:val="20"/>
                <w:szCs w:val="20"/>
                <w:lang w:val="en-US" w:eastAsia="zh-CN"/>
              </w:rPr>
              <w:t>80岁以上老年人</w:t>
            </w:r>
          </w:p>
        </w:tc>
        <w:tc>
          <w:tcPr>
            <w:tcW w:w="86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30</w:t>
            </w:r>
          </w:p>
        </w:tc>
        <w:tc>
          <w:tcPr>
            <w:tcW w:w="791"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1040"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市辖三区符合条件的</w:t>
            </w:r>
            <w:r>
              <w:rPr>
                <w:rFonts w:hint="default" w:ascii="Times New Roman" w:hAnsi="Times New Roman" w:cs="Times New Roman"/>
                <w:sz w:val="20"/>
                <w:szCs w:val="20"/>
                <w:lang w:val="en-US" w:eastAsia="zh-CN"/>
              </w:rPr>
              <w:t>80岁以上老年人</w:t>
            </w:r>
          </w:p>
        </w:tc>
        <w:tc>
          <w:tcPr>
            <w:tcW w:w="62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gridSpan w:val="2"/>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符合条件的老年人全覆盖发放</w:t>
            </w:r>
          </w:p>
        </w:tc>
        <w:tc>
          <w:tcPr>
            <w:tcW w:w="86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15</w:t>
            </w:r>
          </w:p>
        </w:tc>
        <w:tc>
          <w:tcPr>
            <w:tcW w:w="791"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1040"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符合条件的老年人全覆盖发放</w:t>
            </w:r>
          </w:p>
        </w:tc>
        <w:tc>
          <w:tcPr>
            <w:tcW w:w="62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gridSpan w:val="2"/>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按月及时发放</w:t>
            </w:r>
          </w:p>
        </w:tc>
        <w:tc>
          <w:tcPr>
            <w:tcW w:w="86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15</w:t>
            </w:r>
          </w:p>
        </w:tc>
        <w:tc>
          <w:tcPr>
            <w:tcW w:w="791"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jc w:val="center"/>
              <w:rPr>
                <w:rFonts w:hint="default" w:ascii="Times New Roman" w:hAnsi="Times New Roman" w:cs="Times New Roman"/>
                <w:sz w:val="20"/>
                <w:szCs w:val="20"/>
              </w:rPr>
            </w:pPr>
            <w:r>
              <w:rPr>
                <w:rFonts w:hint="default" w:ascii="Times New Roman" w:hAnsi="Times New Roman" w:cs="Times New Roman"/>
                <w:sz w:val="20"/>
                <w:szCs w:val="20"/>
              </w:rPr>
              <w:t>指标</w:t>
            </w:r>
          </w:p>
        </w:tc>
        <w:tc>
          <w:tcPr>
            <w:tcW w:w="1040"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按月及时发放</w:t>
            </w:r>
          </w:p>
        </w:tc>
        <w:tc>
          <w:tcPr>
            <w:tcW w:w="62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gridSpan w:val="2"/>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效</w:t>
            </w:r>
            <w:r>
              <w:rPr>
                <w:rFonts w:hint="default" w:ascii="Times New Roman" w:hAnsi="Times New Roman" w:cs="Times New Roman"/>
                <w:sz w:val="20"/>
                <w:szCs w:val="20"/>
              </w:rPr>
              <w:br w:type="textWrapping"/>
            </w:r>
            <w:r>
              <w:rPr>
                <w:rFonts w:hint="default" w:ascii="Times New Roman" w:hAnsi="Times New Roman" w:cs="Times New Roman"/>
                <w:sz w:val="20"/>
                <w:szCs w:val="20"/>
              </w:rPr>
              <w:t>益</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提升高龄老人的幸福感和获得感</w:t>
            </w:r>
          </w:p>
        </w:tc>
        <w:tc>
          <w:tcPr>
            <w:tcW w:w="86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30</w:t>
            </w:r>
          </w:p>
        </w:tc>
        <w:tc>
          <w:tcPr>
            <w:tcW w:w="791"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社会效</w:t>
            </w:r>
          </w:p>
          <w:p>
            <w:pPr>
              <w:jc w:val="center"/>
              <w:rPr>
                <w:rFonts w:hint="default" w:ascii="Times New Roman" w:hAnsi="Times New Roman" w:cs="Times New Roman"/>
                <w:sz w:val="20"/>
                <w:szCs w:val="20"/>
              </w:rPr>
            </w:pPr>
            <w:r>
              <w:rPr>
                <w:rFonts w:hint="default" w:ascii="Times New Roman" w:hAnsi="Times New Roman" w:cs="Times New Roman"/>
                <w:sz w:val="20"/>
                <w:szCs w:val="20"/>
              </w:rPr>
              <w:t>益指标</w:t>
            </w:r>
          </w:p>
        </w:tc>
        <w:tc>
          <w:tcPr>
            <w:tcW w:w="1040"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提升高龄老人的幸福感和获得感</w:t>
            </w:r>
          </w:p>
        </w:tc>
        <w:tc>
          <w:tcPr>
            <w:tcW w:w="62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lang w:val="en-US" w:eastAsia="zh-CN"/>
              </w:rPr>
              <w:t>95%以上</w:t>
            </w:r>
          </w:p>
        </w:tc>
      </w:tr>
      <w:tr>
        <w:tblPrEx>
          <w:tblCellMar>
            <w:top w:w="0" w:type="dxa"/>
            <w:left w:w="108" w:type="dxa"/>
            <w:bottom w:w="0" w:type="dxa"/>
            <w:right w:w="108" w:type="dxa"/>
          </w:tblCellMar>
        </w:tblPrEx>
        <w:trPr>
          <w:trHeight w:val="315" w:hRule="atLeast"/>
        </w:trPr>
        <w:tc>
          <w:tcPr>
            <w:tcW w:w="416" w:type="dxa"/>
            <w:gridSpan w:val="2"/>
            <w:vMerge w:val="continue"/>
            <w:tcBorders>
              <w:top w:val="nil"/>
              <w:left w:val="single" w:color="auto" w:sz="4" w:space="0"/>
              <w:bottom w:val="single" w:color="000000" w:sz="4" w:space="0"/>
              <w:right w:val="single" w:color="auto" w:sz="4" w:space="0"/>
            </w:tcBorders>
            <w:noWrap w:val="0"/>
            <w:vAlign w:val="center"/>
          </w:tcPr>
          <w:p>
            <w:pPr>
              <w:rPr>
                <w:rFonts w:hint="default" w:ascii="Times New Roman" w:hAnsi="Times New Roman" w:cs="Times New Roman"/>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高龄老人群体满意度高</w:t>
            </w:r>
          </w:p>
        </w:tc>
        <w:tc>
          <w:tcPr>
            <w:tcW w:w="860" w:type="dxa"/>
            <w:tcBorders>
              <w:top w:val="nil"/>
              <w:left w:val="nil"/>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10</w:t>
            </w:r>
          </w:p>
        </w:tc>
        <w:tc>
          <w:tcPr>
            <w:tcW w:w="79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服务对</w:t>
            </w:r>
          </w:p>
          <w:p>
            <w:pPr>
              <w:jc w:val="center"/>
              <w:rPr>
                <w:rFonts w:hint="default" w:ascii="Times New Roman" w:hAnsi="Times New Roman" w:cs="Times New Roman"/>
                <w:sz w:val="20"/>
                <w:szCs w:val="20"/>
              </w:rPr>
            </w:pPr>
            <w:r>
              <w:rPr>
                <w:rFonts w:hint="default" w:ascii="Times New Roman" w:hAnsi="Times New Roman" w:cs="Times New Roman"/>
                <w:sz w:val="20"/>
                <w:szCs w:val="20"/>
              </w:rPr>
              <w:t>象满意</w:t>
            </w:r>
          </w:p>
          <w:p>
            <w:pPr>
              <w:jc w:val="center"/>
              <w:rPr>
                <w:rFonts w:hint="default" w:ascii="Times New Roman" w:hAnsi="Times New Roman" w:cs="Times New Roman"/>
                <w:sz w:val="20"/>
                <w:szCs w:val="20"/>
              </w:rPr>
            </w:pPr>
            <w:r>
              <w:rPr>
                <w:rFonts w:hint="default" w:ascii="Times New Roman" w:hAnsi="Times New Roman" w:cs="Times New Roman"/>
                <w:sz w:val="20"/>
                <w:szCs w:val="20"/>
              </w:rPr>
              <w:t>度指标</w:t>
            </w:r>
          </w:p>
        </w:tc>
        <w:tc>
          <w:tcPr>
            <w:tcW w:w="1040" w:type="dxa"/>
            <w:gridSpan w:val="2"/>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高龄老人群体满意度高</w:t>
            </w:r>
          </w:p>
        </w:tc>
        <w:tc>
          <w:tcPr>
            <w:tcW w:w="623" w:type="dxa"/>
            <w:tcBorders>
              <w:top w:val="nil"/>
              <w:left w:val="nil"/>
              <w:bottom w:val="single" w:color="auto" w:sz="4" w:space="0"/>
              <w:right w:val="single" w:color="auto" w:sz="4" w:space="0"/>
            </w:tcBorders>
            <w:noWrap w:val="0"/>
            <w:vAlign w:val="center"/>
          </w:tcPr>
          <w:p>
            <w:pPr>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lang w:val="en-US" w:eastAsia="zh-CN"/>
              </w:rPr>
              <w:t>95%以上</w:t>
            </w:r>
          </w:p>
        </w:tc>
      </w:tr>
    </w:tbl>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、“老年食堂（助餐点）体系建设”项目。</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（1）项目概述。</w:t>
      </w:r>
      <w:r>
        <w:rPr>
          <w:rFonts w:hint="default" w:ascii="Times New Roman" w:hAnsi="Times New Roman" w:eastAsia="仿宋_GB2312" w:cs="Times New Roman"/>
          <w:sz w:val="32"/>
          <w:szCs w:val="32"/>
          <w:lang w:eastAsia="zh-CN"/>
        </w:rPr>
        <w:t>为建成后正常运营的老年食堂（助餐点）给予运营补贴。</w:t>
      </w:r>
      <w:r>
        <w:rPr>
          <w:rFonts w:hint="default" w:ascii="Times New Roman" w:hAnsi="Times New Roman" w:eastAsia="仿宋_GB2312" w:cs="Times New Roman"/>
          <w:sz w:val="32"/>
          <w:szCs w:val="32"/>
          <w:lang w:val="en-US" w:eastAsia="zh-CN"/>
        </w:rPr>
        <w:t>对在政府认定的老年食堂（助餐点）就餐的老年人，按照年龄结构实行就餐补贴。老年助餐服务机构使用的老年助餐结算系统运营所需的网费、维护费用。</w:t>
      </w:r>
    </w:p>
    <w:p>
      <w:pPr>
        <w:adjustRightInd w:val="0"/>
        <w:snapToGrid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rPr>
        <w:t>（2）立项依据。</w:t>
      </w:r>
      <w:r>
        <w:rPr>
          <w:rFonts w:hint="default" w:ascii="Times New Roman" w:hAnsi="Times New Roman" w:eastAsia="仿宋_GB2312" w:cs="Times New Roman"/>
          <w:sz w:val="32"/>
          <w:szCs w:val="32"/>
          <w:lang w:val="en-US" w:eastAsia="zh-CN"/>
        </w:rPr>
        <w:t>为民生工程任务和暖民心行动任务。</w:t>
      </w:r>
      <w:r>
        <w:rPr>
          <w:rFonts w:hint="eastAsia"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lang w:eastAsia="zh-CN"/>
        </w:rPr>
        <w:t>淮办发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2022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10号：关于印发《就业促进行动方案》等暖民心行动方案的通知、</w:t>
      </w:r>
      <w:r>
        <w:rPr>
          <w:rFonts w:hint="eastAsia" w:ascii="Times New Roman" w:hAnsi="Times New Roman" w:eastAsia="仿宋_GB2312" w:cs="Times New Roman"/>
          <w:sz w:val="32"/>
          <w:szCs w:val="32"/>
          <w:lang w:val="en-US" w:eastAsia="zh-CN"/>
        </w:rPr>
        <w:t>②</w:t>
      </w:r>
      <w:r>
        <w:rPr>
          <w:rFonts w:hint="default" w:ascii="Times New Roman" w:hAnsi="Times New Roman" w:eastAsia="仿宋_GB2312" w:cs="Times New Roman"/>
          <w:sz w:val="32"/>
          <w:szCs w:val="32"/>
          <w:lang w:eastAsia="zh-CN"/>
        </w:rPr>
        <w:t>淮民社救〔2022〕5号：关于印发《淮北市城乡居民最低生活保障实施方案》等七项民生工程实施方案的通知。</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（3）实施主体。</w:t>
      </w:r>
      <w:r>
        <w:rPr>
          <w:rFonts w:hint="default" w:ascii="Times New Roman" w:hAnsi="Times New Roman" w:eastAsia="仿宋_GB2312" w:cs="Times New Roman"/>
          <w:sz w:val="32"/>
          <w:szCs w:val="32"/>
        </w:rPr>
        <w:t>养老服务科</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（4）起止时间。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3.12</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（5）项目内容。</w:t>
      </w:r>
      <w:r>
        <w:rPr>
          <w:rFonts w:hint="default" w:ascii="Times New Roman" w:hAnsi="Times New Roman" w:eastAsia="仿宋_GB2312" w:cs="Times New Roman"/>
          <w:sz w:val="32"/>
          <w:szCs w:val="32"/>
        </w:rPr>
        <w:t>建成后正常运营的城区老年食堂（助餐点）给予运营补贴。对在政府认定的老年食堂（助餐点）就餐的老年人，按照年龄结构实行就餐补贴。老年助餐服务机构使用的老年助餐结算系统运营所需的网费、维护费用。</w:t>
      </w:r>
    </w:p>
    <w:p>
      <w:pPr>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（6）年度预算安排。</w:t>
      </w:r>
      <w:r>
        <w:rPr>
          <w:rFonts w:hint="default" w:ascii="Times New Roman" w:hAnsi="Times New Roman" w:eastAsia="仿宋_GB2312" w:cs="Times New Roman"/>
          <w:kern w:val="0"/>
          <w:sz w:val="32"/>
          <w:szCs w:val="32"/>
          <w:lang w:val="en-US" w:eastAsia="zh-CN"/>
        </w:rPr>
        <w:t>300万元</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（7）绩效目标。</w:t>
      </w:r>
      <w:r>
        <w:rPr>
          <w:rFonts w:hint="default" w:ascii="Times New Roman" w:hAnsi="Times New Roman" w:eastAsia="仿宋_GB2312" w:cs="Times New Roman"/>
          <w:sz w:val="32"/>
          <w:szCs w:val="32"/>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hint="default" w:ascii="Times New Roman" w:hAnsi="Times New Roman" w:cs="Times New Roman"/>
                <w:b/>
                <w:bCs/>
                <w:szCs w:val="32"/>
              </w:rPr>
            </w:pPr>
            <w:r>
              <w:rPr>
                <w:rFonts w:hint="default" w:ascii="Times New Roman" w:hAnsi="Times New Roman" w:eastAsia="宋体" w:cs="Times New Roman"/>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（2023年度）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项目名称</w:t>
            </w:r>
          </w:p>
        </w:tc>
        <w:tc>
          <w:tcPr>
            <w:tcW w:w="7577" w:type="dxa"/>
            <w:gridSpan w:val="4"/>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color w:val="000000"/>
                <w:sz w:val="20"/>
                <w:szCs w:val="20"/>
              </w:rPr>
              <w:t>老年食堂（助餐点）体系建设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ind w:firstLine="200" w:firstLineChars="100"/>
              <w:jc w:val="left"/>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实施单位</w:t>
            </w:r>
          </w:p>
        </w:tc>
        <w:tc>
          <w:tcPr>
            <w:tcW w:w="7577" w:type="dxa"/>
            <w:gridSpan w:val="4"/>
            <w:tcBorders>
              <w:tl2br w:val="nil"/>
              <w:tr2bl w:val="nil"/>
            </w:tcBorders>
            <w:vAlign w:val="center"/>
          </w:tcPr>
          <w:p>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养老服务科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项目来源</w:t>
            </w:r>
          </w:p>
        </w:tc>
        <w:tc>
          <w:tcPr>
            <w:tcW w:w="334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财政拨款</w:t>
            </w:r>
          </w:p>
        </w:tc>
        <w:tc>
          <w:tcPr>
            <w:tcW w:w="1848" w:type="dxa"/>
            <w:tcBorders>
              <w:tl2br w:val="nil"/>
              <w:tr2bl w:val="nil"/>
            </w:tcBorders>
            <w:vAlign w:val="center"/>
          </w:tcPr>
          <w:p>
            <w:pPr>
              <w:widowControl/>
              <w:jc w:val="center"/>
              <w:textAlignment w:val="center"/>
              <w:rPr>
                <w:rFonts w:hint="default" w:ascii="Times New Roman" w:hAnsi="Times New Roman" w:cs="Times New Roman"/>
              </w:rPr>
            </w:pPr>
            <w:r>
              <w:rPr>
                <w:rFonts w:hint="default" w:ascii="Times New Roman" w:hAnsi="Times New Roman" w:eastAsia="宋体" w:cs="Times New Roman"/>
                <w:color w:val="000000"/>
                <w:kern w:val="0"/>
                <w:sz w:val="20"/>
                <w:szCs w:val="20"/>
              </w:rPr>
              <w:t>项目期</w:t>
            </w:r>
          </w:p>
        </w:tc>
        <w:tc>
          <w:tcPr>
            <w:tcW w:w="2380" w:type="dxa"/>
            <w:tcBorders>
              <w:tl2br w:val="nil"/>
              <w:tr2bl w:val="nil"/>
            </w:tcBorders>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项目资金</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年度资金总额：</w:t>
            </w:r>
          </w:p>
        </w:tc>
        <w:tc>
          <w:tcPr>
            <w:tcW w:w="4228" w:type="dxa"/>
            <w:gridSpan w:val="2"/>
            <w:tcBorders>
              <w:tl2br w:val="nil"/>
              <w:tr2bl w:val="nil"/>
            </w:tcBorders>
            <w:vAlign w:val="center"/>
          </w:tcPr>
          <w:p>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其中：财政拨款</w:t>
            </w:r>
          </w:p>
        </w:tc>
        <w:tc>
          <w:tcPr>
            <w:tcW w:w="4228" w:type="dxa"/>
            <w:gridSpan w:val="2"/>
            <w:tcBorders>
              <w:tl2br w:val="nil"/>
              <w:tr2bl w:val="nil"/>
            </w:tcBorders>
            <w:vAlign w:val="center"/>
          </w:tcPr>
          <w:p>
            <w:pPr>
              <w:jc w:val="center"/>
              <w:rPr>
                <w:rFonts w:hint="default" w:ascii="Times New Roman" w:hAnsi="Times New Roman" w:cs="Times New Roman" w:eastAsiaTheme="minorEastAsia"/>
                <w:sz w:val="20"/>
                <w:lang w:val="en-US" w:eastAsia="zh-CN"/>
              </w:rPr>
            </w:pPr>
            <w:r>
              <w:rPr>
                <w:rFonts w:hint="default" w:ascii="Times New Roman" w:hAnsi="Times New Roman" w:cs="Times New Roman"/>
                <w:sz w:val="20"/>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上年结转</w:t>
            </w:r>
          </w:p>
        </w:tc>
        <w:tc>
          <w:tcPr>
            <w:tcW w:w="4228" w:type="dxa"/>
            <w:gridSpan w:val="2"/>
            <w:tcBorders>
              <w:tl2br w:val="nil"/>
              <w:tr2bl w:val="nil"/>
            </w:tcBorders>
            <w:vAlign w:val="center"/>
          </w:tcPr>
          <w:p>
            <w:pPr>
              <w:jc w:val="center"/>
              <w:rPr>
                <w:rFonts w:hint="default" w:ascii="Times New Roman" w:hAnsi="Times New Roman" w:cs="Times New Roman"/>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hint="default" w:ascii="Times New Roman" w:hAnsi="Times New Roman" w:cs="Times New Roman"/>
                <w:sz w:val="20"/>
              </w:rPr>
            </w:pPr>
          </w:p>
        </w:tc>
        <w:tc>
          <w:tcPr>
            <w:tcW w:w="3349" w:type="dxa"/>
            <w:gridSpan w:val="2"/>
            <w:tcBorders>
              <w:tl2br w:val="nil"/>
              <w:tr2bl w:val="nil"/>
            </w:tcBorders>
            <w:vAlign w:val="center"/>
          </w:tcPr>
          <w:p>
            <w:pPr>
              <w:widowControl/>
              <w:jc w:val="left"/>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 xml:space="preserve">         其他资金</w:t>
            </w:r>
          </w:p>
        </w:tc>
        <w:tc>
          <w:tcPr>
            <w:tcW w:w="4228" w:type="dxa"/>
            <w:gridSpan w:val="2"/>
            <w:tcBorders>
              <w:tl2br w:val="nil"/>
              <w:tr2bl w:val="nil"/>
            </w:tcBorders>
            <w:vAlign w:val="center"/>
          </w:tcPr>
          <w:p>
            <w:pPr>
              <w:jc w:val="right"/>
              <w:rPr>
                <w:rFonts w:hint="default" w:ascii="Times New Roman" w:hAnsi="Times New Roman" w:cs="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hint="default" w:ascii="Times New Roman" w:hAnsi="Times New Roman" w:cs="Times New Roman"/>
                <w:sz w:val="20"/>
              </w:rPr>
            </w:pPr>
            <w:r>
              <w:rPr>
                <w:rFonts w:hint="default" w:ascii="Times New Roman" w:hAnsi="Times New Roman" w:eastAsia="宋体" w:cs="Times New Roman"/>
                <w:color w:val="000000"/>
                <w:kern w:val="0"/>
                <w:sz w:val="20"/>
                <w:szCs w:val="20"/>
              </w:rPr>
              <w:t>年度</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目标</w:t>
            </w:r>
          </w:p>
        </w:tc>
        <w:tc>
          <w:tcPr>
            <w:tcW w:w="8582" w:type="dxa"/>
            <w:gridSpan w:val="6"/>
            <w:tcBorders>
              <w:tl2br w:val="nil"/>
              <w:tr2bl w:val="nil"/>
            </w:tcBorders>
            <w:vAlign w:val="center"/>
          </w:tcPr>
          <w:p>
            <w:pPr>
              <w:jc w:val="left"/>
              <w:rPr>
                <w:rFonts w:hint="default" w:ascii="Times New Roman" w:hAnsi="Times New Roman" w:cs="Times New Roman"/>
                <w:sz w:val="20"/>
              </w:rPr>
            </w:pPr>
            <w:r>
              <w:rPr>
                <w:rFonts w:hint="default" w:ascii="Times New Roman" w:hAnsi="Times New Roman" w:cs="Times New Roman"/>
                <w:sz w:val="20"/>
                <w:szCs w:val="20"/>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绩</w:t>
            </w:r>
            <w:r>
              <w:rPr>
                <w:rFonts w:hint="default" w:ascii="Times New Roman" w:hAnsi="Times New Roman" w:cs="Times New Roman"/>
                <w:sz w:val="20"/>
                <w:szCs w:val="20"/>
              </w:rPr>
              <w:br w:type="textWrapping"/>
            </w:r>
            <w:r>
              <w:rPr>
                <w:rFonts w:hint="default" w:ascii="Times New Roman" w:hAnsi="Times New Roman" w:cs="Times New Roman"/>
                <w:sz w:val="20"/>
                <w:szCs w:val="20"/>
              </w:rPr>
              <w:t>效</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723"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一级</w:t>
            </w:r>
            <w:r>
              <w:rPr>
                <w:rFonts w:hint="default" w:ascii="Times New Roman" w:hAnsi="Times New Roman" w:cs="Times New Roman"/>
                <w:sz w:val="20"/>
                <w:szCs w:val="20"/>
              </w:rPr>
              <w:br w:type="textWrapping"/>
            </w:r>
            <w:r>
              <w:rPr>
                <w:rFonts w:hint="default" w:ascii="Times New Roman" w:hAnsi="Times New Roman" w:cs="Times New Roman"/>
                <w:sz w:val="20"/>
                <w:szCs w:val="20"/>
              </w:rPr>
              <w:t>指标</w:t>
            </w:r>
          </w:p>
        </w:tc>
        <w:tc>
          <w:tcPr>
            <w:tcW w:w="759" w:type="dxa"/>
            <w:gridSpan w:val="2"/>
            <w:tcBorders>
              <w:tl2br w:val="nil"/>
              <w:tr2bl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二级</w:t>
            </w:r>
          </w:p>
          <w:p>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三级指标</w:t>
            </w:r>
          </w:p>
        </w:tc>
        <w:tc>
          <w:tcPr>
            <w:tcW w:w="4228"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rFonts w:hint="default" w:ascii="Times New Roman" w:hAnsi="Times New Roman" w:cs="Times New Roman"/>
                <w:sz w:val="20"/>
              </w:rPr>
            </w:pPr>
          </w:p>
        </w:tc>
        <w:tc>
          <w:tcPr>
            <w:tcW w:w="723" w:type="dxa"/>
            <w:vMerge w:val="restart"/>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产</w:t>
            </w:r>
            <w:r>
              <w:rPr>
                <w:rFonts w:hint="default" w:ascii="Times New Roman" w:hAnsi="Times New Roman" w:cs="Times New Roman"/>
                <w:sz w:val="20"/>
                <w:szCs w:val="20"/>
              </w:rPr>
              <w:br w:type="textWrapping"/>
            </w:r>
            <w:r>
              <w:rPr>
                <w:rFonts w:hint="default" w:ascii="Times New Roman" w:hAnsi="Times New Roman" w:cs="Times New Roman"/>
                <w:sz w:val="20"/>
                <w:szCs w:val="20"/>
              </w:rPr>
              <w:t>出</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759" w:type="dxa"/>
            <w:gridSpan w:val="2"/>
            <w:tcBorders>
              <w:tl2br w:val="nil"/>
              <w:tr2bl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建成后正常运营的老年食堂（助餐点），我市符合条件的就餐老年人。</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38" w:type="dxa"/>
            <w:vMerge w:val="continue"/>
            <w:tcBorders>
              <w:tl2br w:val="nil"/>
              <w:tr2bl w:val="nil"/>
            </w:tcBorders>
            <w:vAlign w:val="center"/>
          </w:tcPr>
          <w:p>
            <w:pPr>
              <w:rPr>
                <w:rFonts w:hint="default" w:ascii="Times New Roman" w:hAnsi="Times New Roman" w:cs="Times New Roman"/>
                <w:sz w:val="20"/>
              </w:rPr>
            </w:pPr>
          </w:p>
        </w:tc>
        <w:tc>
          <w:tcPr>
            <w:tcW w:w="723" w:type="dxa"/>
            <w:vMerge w:val="continue"/>
            <w:tcBorders>
              <w:tl2br w:val="nil"/>
              <w:tr2bl w:val="nil"/>
            </w:tcBorders>
            <w:vAlign w:val="center"/>
          </w:tcPr>
          <w:p>
            <w:pPr>
              <w:rPr>
                <w:rFonts w:hint="default" w:ascii="Times New Roman" w:hAnsi="Times New Roman" w:cs="Times New Roman"/>
                <w:sz w:val="20"/>
              </w:rPr>
            </w:pPr>
          </w:p>
        </w:tc>
        <w:tc>
          <w:tcPr>
            <w:tcW w:w="759" w:type="dxa"/>
            <w:gridSpan w:val="2"/>
            <w:tcBorders>
              <w:tl2br w:val="nil"/>
              <w:tr2bl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质量</w:t>
            </w:r>
          </w:p>
          <w:p>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符合条件的进行发放</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rFonts w:hint="default" w:ascii="Times New Roman" w:hAnsi="Times New Roman" w:cs="Times New Roman"/>
                <w:sz w:val="20"/>
              </w:rPr>
            </w:pPr>
          </w:p>
        </w:tc>
        <w:tc>
          <w:tcPr>
            <w:tcW w:w="723" w:type="dxa"/>
            <w:vMerge w:val="continue"/>
            <w:tcBorders>
              <w:tl2br w:val="nil"/>
              <w:tr2bl w:val="nil"/>
            </w:tcBorders>
            <w:vAlign w:val="center"/>
          </w:tcPr>
          <w:p>
            <w:pPr>
              <w:rPr>
                <w:rFonts w:hint="default" w:ascii="Times New Roman" w:hAnsi="Times New Roman" w:cs="Times New Roman"/>
                <w:sz w:val="20"/>
              </w:rPr>
            </w:pPr>
          </w:p>
        </w:tc>
        <w:tc>
          <w:tcPr>
            <w:tcW w:w="759" w:type="dxa"/>
            <w:gridSpan w:val="2"/>
            <w:tcBorders>
              <w:tl2br w:val="nil"/>
              <w:tr2bl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时效</w:t>
            </w:r>
          </w:p>
          <w:p>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及时发放</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rFonts w:hint="default" w:ascii="Times New Roman" w:hAnsi="Times New Roman" w:cs="Times New Roman"/>
                <w:sz w:val="20"/>
              </w:rPr>
            </w:pPr>
          </w:p>
        </w:tc>
        <w:tc>
          <w:tcPr>
            <w:tcW w:w="723"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效</w:t>
            </w:r>
            <w:r>
              <w:rPr>
                <w:rFonts w:hint="default" w:ascii="Times New Roman" w:hAnsi="Times New Roman" w:cs="Times New Roman"/>
                <w:sz w:val="20"/>
                <w:szCs w:val="20"/>
              </w:rPr>
              <w:br w:type="textWrapping"/>
            </w:r>
            <w:r>
              <w:rPr>
                <w:rFonts w:hint="default" w:ascii="Times New Roman" w:hAnsi="Times New Roman" w:cs="Times New Roman"/>
                <w:sz w:val="20"/>
                <w:szCs w:val="20"/>
              </w:rPr>
              <w:t>益</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75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社会效益指标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建设老年食堂（助餐点）体系，提升老人的幸福感和获得感。</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rFonts w:hint="default" w:ascii="Times New Roman" w:hAnsi="Times New Roman" w:cs="Times New Roman"/>
                <w:sz w:val="20"/>
              </w:rPr>
            </w:pPr>
          </w:p>
        </w:tc>
        <w:tc>
          <w:tcPr>
            <w:tcW w:w="723"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满意度指标</w:t>
            </w:r>
          </w:p>
        </w:tc>
        <w:tc>
          <w:tcPr>
            <w:tcW w:w="75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服务对象满意度指标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老年助餐服务机构运营良好，老年人满意度高。</w:t>
            </w:r>
          </w:p>
        </w:tc>
        <w:tc>
          <w:tcPr>
            <w:tcW w:w="4228" w:type="dxa"/>
            <w:gridSpan w:val="2"/>
            <w:tcBorders>
              <w:tl2br w:val="nil"/>
              <w:tr2bl w:val="nil"/>
            </w:tcBorders>
            <w:vAlign w:val="center"/>
          </w:tcPr>
          <w:p>
            <w:pPr>
              <w:jc w:val="both"/>
              <w:rPr>
                <w:rFonts w:hint="default" w:ascii="Times New Roman" w:hAnsi="Times New Roman" w:cs="Times New Roman"/>
                <w:sz w:val="20"/>
              </w:rPr>
            </w:pPr>
            <w:r>
              <w:rPr>
                <w:rFonts w:hint="default" w:ascii="Times New Roman" w:hAnsi="Times New Roman" w:cs="Times New Roman"/>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产</w:t>
            </w:r>
            <w:r>
              <w:rPr>
                <w:rFonts w:hint="default" w:ascii="Times New Roman" w:hAnsi="Times New Roman" w:cs="Times New Roman"/>
                <w:sz w:val="20"/>
                <w:szCs w:val="20"/>
              </w:rPr>
              <w:br w:type="textWrapping"/>
            </w:r>
            <w:r>
              <w:rPr>
                <w:rFonts w:hint="default" w:ascii="Times New Roman" w:hAnsi="Times New Roman" w:cs="Times New Roman"/>
                <w:sz w:val="20"/>
                <w:szCs w:val="20"/>
              </w:rPr>
              <w:t>出</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759" w:type="dxa"/>
            <w:gridSpan w:val="2"/>
            <w:tcBorders>
              <w:tl2br w:val="nil"/>
              <w:tr2bl w:val="nil"/>
            </w:tcBorders>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数量</w:t>
            </w:r>
          </w:p>
          <w:p>
            <w:pPr>
              <w:jc w:val="center"/>
              <w:rPr>
                <w:rFonts w:hint="default" w:ascii="Times New Roman" w:hAnsi="Times New Roman" w:cs="Times New Roman"/>
                <w:sz w:val="20"/>
              </w:rPr>
            </w:pPr>
            <w:r>
              <w:rPr>
                <w:rFonts w:hint="default" w:ascii="Times New Roman" w:hAnsi="Times New Roman" w:cs="Times New Roman"/>
                <w:sz w:val="20"/>
                <w:szCs w:val="20"/>
              </w:rPr>
              <w:t>指标</w:t>
            </w:r>
          </w:p>
        </w:tc>
        <w:tc>
          <w:tcPr>
            <w:tcW w:w="2872" w:type="dxa"/>
            <w:tcBorders>
              <w:tl2br w:val="nil"/>
              <w:tr2bl w:val="nil"/>
            </w:tcBorders>
            <w:vAlign w:val="center"/>
          </w:tcPr>
          <w:p>
            <w:pPr>
              <w:jc w:val="both"/>
              <w:rPr>
                <w:rFonts w:hint="default" w:ascii="Times New Roman" w:hAnsi="Times New Roman" w:cs="Times New Roman"/>
                <w:sz w:val="20"/>
              </w:rPr>
            </w:pPr>
            <w:r>
              <w:rPr>
                <w:rFonts w:hint="default" w:ascii="Times New Roman" w:hAnsi="Times New Roman" w:cs="Times New Roman"/>
                <w:sz w:val="20"/>
                <w:szCs w:val="20"/>
                <w:lang w:val="en"/>
              </w:rPr>
              <w:t>需</w:t>
            </w:r>
            <w:r>
              <w:rPr>
                <w:rFonts w:hint="default" w:ascii="Times New Roman" w:hAnsi="Times New Roman" w:cs="Times New Roman"/>
                <w:sz w:val="20"/>
                <w:szCs w:val="20"/>
                <w:lang w:val="en" w:eastAsia="zh-CN"/>
              </w:rPr>
              <w:t>要康复护理</w:t>
            </w:r>
            <w:r>
              <w:rPr>
                <w:rFonts w:hint="default" w:ascii="Times New Roman" w:hAnsi="Times New Roman" w:cs="Times New Roman"/>
                <w:sz w:val="20"/>
                <w:szCs w:val="20"/>
              </w:rPr>
              <w:t>儿童人数</w:t>
            </w:r>
          </w:p>
        </w:tc>
        <w:tc>
          <w:tcPr>
            <w:tcW w:w="4228" w:type="dxa"/>
            <w:gridSpan w:val="2"/>
            <w:tcBorders>
              <w:tl2br w:val="nil"/>
              <w:tr2bl w:val="nil"/>
            </w:tcBorders>
            <w:vAlign w:val="center"/>
          </w:tcPr>
          <w:p>
            <w:pPr>
              <w:jc w:val="both"/>
              <w:rPr>
                <w:rFonts w:hint="default" w:ascii="Times New Roman" w:hAnsi="Times New Roman" w:cs="Times New Roman"/>
                <w:sz w:val="20"/>
              </w:rPr>
            </w:pPr>
            <w:r>
              <w:rPr>
                <w:rFonts w:hint="default" w:ascii="Times New Roman" w:hAnsi="Times New Roman" w:cs="Times New Roman"/>
                <w:sz w:val="20"/>
                <w:szCs w:val="20"/>
                <w:lang w:val="en-US" w:eastAsia="zh-CN"/>
              </w:rPr>
              <w:t>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效</w:t>
            </w:r>
            <w:r>
              <w:rPr>
                <w:rFonts w:hint="default" w:ascii="Times New Roman" w:hAnsi="Times New Roman" w:cs="Times New Roman"/>
                <w:sz w:val="20"/>
                <w:szCs w:val="20"/>
              </w:rPr>
              <w:br w:type="textWrapping"/>
            </w:r>
            <w:r>
              <w:rPr>
                <w:rFonts w:hint="default" w:ascii="Times New Roman" w:hAnsi="Times New Roman" w:cs="Times New Roman"/>
                <w:sz w:val="20"/>
                <w:szCs w:val="20"/>
              </w:rPr>
              <w:t>益</w:t>
            </w:r>
            <w:r>
              <w:rPr>
                <w:rFonts w:hint="default" w:ascii="Times New Roman" w:hAnsi="Times New Roman" w:cs="Times New Roman"/>
                <w:sz w:val="20"/>
                <w:szCs w:val="20"/>
              </w:rPr>
              <w:br w:type="textWrapping"/>
            </w:r>
            <w:r>
              <w:rPr>
                <w:rFonts w:hint="default" w:ascii="Times New Roman" w:hAnsi="Times New Roman" w:cs="Times New Roman"/>
                <w:sz w:val="20"/>
                <w:szCs w:val="20"/>
              </w:rPr>
              <w:t>指</w:t>
            </w:r>
            <w:r>
              <w:rPr>
                <w:rFonts w:hint="default" w:ascii="Times New Roman" w:hAnsi="Times New Roman" w:cs="Times New Roman"/>
                <w:sz w:val="20"/>
                <w:szCs w:val="20"/>
              </w:rPr>
              <w:br w:type="textWrapping"/>
            </w:r>
            <w:r>
              <w:rPr>
                <w:rFonts w:hint="default" w:ascii="Times New Roman" w:hAnsi="Times New Roman" w:cs="Times New Roman"/>
                <w:sz w:val="20"/>
                <w:szCs w:val="20"/>
              </w:rPr>
              <w:t>标</w:t>
            </w:r>
          </w:p>
        </w:tc>
        <w:tc>
          <w:tcPr>
            <w:tcW w:w="75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可持续影响</w:t>
            </w:r>
            <w:r>
              <w:rPr>
                <w:rFonts w:hint="default" w:ascii="Times New Roman" w:hAnsi="Times New Roman" w:cs="Times New Roman"/>
                <w:sz w:val="20"/>
                <w:szCs w:val="20"/>
              </w:rPr>
              <w:br w:type="textWrapping"/>
            </w:r>
            <w:r>
              <w:rPr>
                <w:rFonts w:hint="default" w:ascii="Times New Roman" w:hAnsi="Times New Roman" w:cs="Times New Roman"/>
                <w:sz w:val="20"/>
                <w:szCs w:val="20"/>
              </w:rPr>
              <w:t>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rPr>
              <w:t>针对性护理康复的持续性</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eastAsia="宋体" w:cs="Times New Roman"/>
                <w:sz w:val="20"/>
                <w:szCs w:val="20"/>
                <w:lang w:eastAsia="zh-CN"/>
              </w:rPr>
              <w:t>按质按量完成康复训练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hint="default" w:ascii="Times New Roman" w:hAnsi="Times New Roman" w:cs="Times New Roman"/>
                <w:sz w:val="20"/>
              </w:rPr>
            </w:pPr>
          </w:p>
        </w:tc>
        <w:tc>
          <w:tcPr>
            <w:tcW w:w="723" w:type="dxa"/>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满意度指标</w:t>
            </w:r>
          </w:p>
        </w:tc>
        <w:tc>
          <w:tcPr>
            <w:tcW w:w="759" w:type="dxa"/>
            <w:gridSpan w:val="2"/>
            <w:tcBorders>
              <w:tl2br w:val="nil"/>
              <w:tr2bl w:val="nil"/>
            </w:tcBorders>
            <w:vAlign w:val="center"/>
          </w:tcPr>
          <w:p>
            <w:pPr>
              <w:jc w:val="center"/>
              <w:rPr>
                <w:rFonts w:hint="default" w:ascii="Times New Roman" w:hAnsi="Times New Roman" w:cs="Times New Roman"/>
                <w:sz w:val="20"/>
              </w:rPr>
            </w:pPr>
            <w:r>
              <w:rPr>
                <w:rFonts w:hint="default" w:ascii="Times New Roman" w:hAnsi="Times New Roman" w:cs="Times New Roman"/>
                <w:sz w:val="20"/>
                <w:szCs w:val="20"/>
              </w:rPr>
              <w:t>服务对象满意度指标</w:t>
            </w:r>
          </w:p>
        </w:tc>
        <w:tc>
          <w:tcPr>
            <w:tcW w:w="2872" w:type="dxa"/>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rPr>
              <w:t>服务情况</w:t>
            </w:r>
          </w:p>
        </w:tc>
        <w:tc>
          <w:tcPr>
            <w:tcW w:w="4228" w:type="dxa"/>
            <w:gridSpan w:val="2"/>
            <w:tcBorders>
              <w:tl2br w:val="nil"/>
              <w:tr2bl w:val="nil"/>
            </w:tcBorders>
            <w:vAlign w:val="center"/>
          </w:tcPr>
          <w:p>
            <w:pPr>
              <w:rPr>
                <w:rFonts w:hint="default" w:ascii="Times New Roman" w:hAnsi="Times New Roman" w:cs="Times New Roman"/>
                <w:sz w:val="20"/>
              </w:rPr>
            </w:pPr>
            <w:r>
              <w:rPr>
                <w:rFonts w:hint="default" w:ascii="Times New Roman" w:hAnsi="Times New Roman" w:cs="Times New Roman"/>
                <w:sz w:val="20"/>
                <w:szCs w:val="20"/>
                <w:lang w:eastAsia="zh-CN"/>
              </w:rPr>
              <w:t>满意</w:t>
            </w:r>
          </w:p>
        </w:tc>
      </w:tr>
    </w:tbl>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2023年机关运行经费财政拨款预算</w:t>
      </w:r>
      <w:r>
        <w:rPr>
          <w:rFonts w:hint="default" w:ascii="Times New Roman" w:hAnsi="Times New Roman" w:eastAsia="仿宋_GB2312" w:cs="Times New Roman"/>
          <w:kern w:val="0"/>
          <w:sz w:val="32"/>
          <w:szCs w:val="32"/>
          <w:lang w:val="en-US" w:eastAsia="zh-CN"/>
        </w:rPr>
        <w:t>70</w:t>
      </w:r>
      <w:r>
        <w:rPr>
          <w:rFonts w:hint="default" w:ascii="Times New Roman" w:hAnsi="Times New Roman" w:eastAsia="仿宋_GB2312" w:cs="Times New Roman"/>
          <w:kern w:val="0"/>
          <w:sz w:val="32"/>
          <w:szCs w:val="32"/>
        </w:rPr>
        <w:t>万元，比2022年预算增加</w:t>
      </w:r>
      <w:r>
        <w:rPr>
          <w:rFonts w:hint="default" w:ascii="Times New Roman" w:hAnsi="Times New Roman" w:eastAsia="仿宋_GB2312" w:cs="Times New Roman"/>
          <w:kern w:val="0"/>
          <w:sz w:val="32"/>
          <w:szCs w:val="32"/>
          <w:lang w:val="en-US" w:eastAsia="zh-CN"/>
        </w:rPr>
        <w:t>15.46</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28.37</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sz w:val="32"/>
          <w:szCs w:val="32"/>
          <w:lang w:val="en-US" w:eastAsia="zh-CN"/>
        </w:rPr>
        <w:t>新招录人员</w:t>
      </w:r>
      <w:r>
        <w:rPr>
          <w:rFonts w:hint="default" w:ascii="Times New Roman" w:hAnsi="Times New Roman" w:eastAsia="仿宋_GB2312" w:cs="Times New Roman"/>
          <w:kern w:val="0"/>
          <w:sz w:val="32"/>
          <w:szCs w:val="32"/>
        </w:rPr>
        <w:t>。</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2023年政府采购预算</w:t>
      </w:r>
      <w:r>
        <w:rPr>
          <w:rFonts w:hint="default" w:ascii="Times New Roman" w:hAnsi="Times New Roman" w:eastAsia="仿宋_GB2312" w:cs="Times New Roman"/>
          <w:kern w:val="0"/>
          <w:sz w:val="32"/>
          <w:szCs w:val="32"/>
          <w:lang w:val="en-US" w:eastAsia="zh-CN"/>
        </w:rPr>
        <w:t>515.28</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0.28</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515</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截至2022年12月31日，淮北市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rPr>
        <w:t>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辆，其中：特种专业技术用车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辆、其他用车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2023年，淮北市</w:t>
      </w:r>
      <w:r>
        <w:rPr>
          <w:rFonts w:hint="default" w:ascii="Times New Roman" w:hAnsi="Times New Roman" w:eastAsia="仿宋_GB2312" w:cs="Times New Roman"/>
          <w:kern w:val="0"/>
          <w:sz w:val="32"/>
          <w:szCs w:val="32"/>
          <w:lang w:eastAsia="zh-CN"/>
        </w:rPr>
        <w:t>民政局</w:t>
      </w:r>
      <w:r>
        <w:rPr>
          <w:rFonts w:hint="default" w:ascii="Times New Roman" w:hAnsi="Times New Roman" w:eastAsia="仿宋_GB2312" w:cs="Times New Roman"/>
          <w:kern w:val="0"/>
          <w:sz w:val="32"/>
          <w:szCs w:val="32"/>
          <w:lang w:val="en-US" w:eastAsia="zh-CN"/>
        </w:rPr>
        <w:t>17</w:t>
      </w:r>
      <w:r>
        <w:rPr>
          <w:rFonts w:hint="default" w:ascii="Times New Roman" w:hAnsi="Times New Roman" w:eastAsia="仿宋_GB2312" w:cs="Times New Roman"/>
          <w:kern w:val="0"/>
          <w:sz w:val="32"/>
          <w:szCs w:val="32"/>
        </w:rPr>
        <w:t>个项目实行了绩效目标管理，涉及一般公共预算当年财政拨款</w:t>
      </w:r>
      <w:r>
        <w:rPr>
          <w:rFonts w:hint="default" w:ascii="Times New Roman" w:hAnsi="Times New Roman" w:eastAsia="仿宋_GB2312" w:cs="Times New Roman"/>
          <w:kern w:val="0"/>
          <w:sz w:val="32"/>
          <w:szCs w:val="32"/>
          <w:lang w:val="en-US" w:eastAsia="zh-CN"/>
        </w:rPr>
        <w:t>1751</w:t>
      </w:r>
      <w:r>
        <w:rPr>
          <w:rFonts w:hint="default" w:ascii="Times New Roman" w:hAnsi="Times New Roman" w:eastAsia="仿宋_GB2312" w:cs="Times New Roman"/>
          <w:kern w:val="0"/>
          <w:sz w:val="32"/>
          <w:szCs w:val="32"/>
        </w:rPr>
        <w:t>万元、政府性基金预算当年财政拨款</w:t>
      </w:r>
      <w:r>
        <w:rPr>
          <w:rFonts w:hint="default" w:ascii="Times New Roman" w:hAnsi="Times New Roman" w:eastAsia="仿宋_GB2312" w:cs="Times New Roman"/>
          <w:kern w:val="0"/>
          <w:sz w:val="32"/>
          <w:szCs w:val="32"/>
          <w:lang w:val="en-US" w:eastAsia="zh-CN"/>
        </w:rPr>
        <w:t>535</w:t>
      </w:r>
      <w:r>
        <w:rPr>
          <w:rFonts w:hint="default"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rPr>
          <w:rFonts w:hint="default" w:ascii="Times New Roman" w:hAnsi="Times New Roman" w:cs="Times New Roman"/>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p>
    <w:p>
      <w:pPr>
        <w:pStyle w:val="9"/>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pPr>
        <w:rPr>
          <w:rFonts w:hint="default" w:ascii="Times New Roman" w:hAnsi="Times New Roman" w:cs="Times New Roman"/>
        </w:rPr>
      </w:pP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或单位从同级财政</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取得的财政预算资金。</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pPr>
        <w:pStyle w:val="9"/>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十、机关运行经费</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A4F2"/>
    <w:multiLevelType w:val="singleLevel"/>
    <w:tmpl w:val="DFFFA4F2"/>
    <w:lvl w:ilvl="0" w:tentative="0">
      <w:start w:val="13"/>
      <w:numFmt w:val="decimal"/>
      <w:suff w:val="nothing"/>
      <w:lvlText w:val="%1、"/>
      <w:lvlJc w:val="left"/>
    </w:lvl>
  </w:abstractNum>
  <w:abstractNum w:abstractNumId="1">
    <w:nsid w:val="FF7231B6"/>
    <w:multiLevelType w:val="singleLevel"/>
    <w:tmpl w:val="FF7231B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1NjAxZWVmMjg0M2FjNmVhMzVkM2EyOWZlNGEyYjYifQ=="/>
  </w:docVars>
  <w:rsids>
    <w:rsidRoot w:val="00E907C4"/>
    <w:rsid w:val="0057562B"/>
    <w:rsid w:val="006546AF"/>
    <w:rsid w:val="008F6D1A"/>
    <w:rsid w:val="009A3CA3"/>
    <w:rsid w:val="00AE3242"/>
    <w:rsid w:val="00E907C4"/>
    <w:rsid w:val="00EC7755"/>
    <w:rsid w:val="08895052"/>
    <w:rsid w:val="0E3E3CC5"/>
    <w:rsid w:val="13AF62E8"/>
    <w:rsid w:val="33B65F28"/>
    <w:rsid w:val="365F08C8"/>
    <w:rsid w:val="37FCDC69"/>
    <w:rsid w:val="3B624CDD"/>
    <w:rsid w:val="3C5612E5"/>
    <w:rsid w:val="3FE6E67A"/>
    <w:rsid w:val="47FC2A6F"/>
    <w:rsid w:val="4F3A304C"/>
    <w:rsid w:val="4FD8AADE"/>
    <w:rsid w:val="58BB1303"/>
    <w:rsid w:val="59B5808E"/>
    <w:rsid w:val="5FA78421"/>
    <w:rsid w:val="5FBF45E3"/>
    <w:rsid w:val="5FFB00A6"/>
    <w:rsid w:val="63CF15BD"/>
    <w:rsid w:val="67F91DA2"/>
    <w:rsid w:val="6BF9B08F"/>
    <w:rsid w:val="6DF34C4A"/>
    <w:rsid w:val="6DFDD82E"/>
    <w:rsid w:val="6EEA7D9B"/>
    <w:rsid w:val="6EFF50A4"/>
    <w:rsid w:val="749DC132"/>
    <w:rsid w:val="775070C7"/>
    <w:rsid w:val="779D466A"/>
    <w:rsid w:val="77F67808"/>
    <w:rsid w:val="7BECFD08"/>
    <w:rsid w:val="7C7F73FA"/>
    <w:rsid w:val="7DA96721"/>
    <w:rsid w:val="7E7EEE29"/>
    <w:rsid w:val="7EB31063"/>
    <w:rsid w:val="7EF35AAB"/>
    <w:rsid w:val="7EF73605"/>
    <w:rsid w:val="7F5DC7AE"/>
    <w:rsid w:val="7FB9D391"/>
    <w:rsid w:val="7FBAC0CB"/>
    <w:rsid w:val="7FBB6EC9"/>
    <w:rsid w:val="7FFF0325"/>
    <w:rsid w:val="7FFFC148"/>
    <w:rsid w:val="8EFDB83B"/>
    <w:rsid w:val="9E7F91FE"/>
    <w:rsid w:val="9EFF1AD9"/>
    <w:rsid w:val="A4BAAA35"/>
    <w:rsid w:val="AEF6EA67"/>
    <w:rsid w:val="AFFF3418"/>
    <w:rsid w:val="B7FF0470"/>
    <w:rsid w:val="BB5BB17D"/>
    <w:rsid w:val="BF4E4E01"/>
    <w:rsid w:val="DE5ECC1A"/>
    <w:rsid w:val="DFD78B29"/>
    <w:rsid w:val="ECEEBB76"/>
    <w:rsid w:val="EFEF5BA4"/>
    <w:rsid w:val="EFF02B49"/>
    <w:rsid w:val="F3FF9DA3"/>
    <w:rsid w:val="F44C9923"/>
    <w:rsid w:val="F7193514"/>
    <w:rsid w:val="F77D8D31"/>
    <w:rsid w:val="F7BDB66E"/>
    <w:rsid w:val="F7D4DA49"/>
    <w:rsid w:val="F7EEC7F3"/>
    <w:rsid w:val="F9F3BF40"/>
    <w:rsid w:val="FD839280"/>
    <w:rsid w:val="FDDA9807"/>
    <w:rsid w:val="FDF7F345"/>
    <w:rsid w:val="FDFF727A"/>
    <w:rsid w:val="FF75AE17"/>
    <w:rsid w:val="FF93CCED"/>
    <w:rsid w:val="FFCF1FBE"/>
    <w:rsid w:val="FFE6174A"/>
    <w:rsid w:val="FFEFE1C2"/>
    <w:rsid w:val="FFFFA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autoRedefine/>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left="0" w:leftChars="0" w:firstLine="420" w:firstLineChars="200"/>
      <w:jc w:val="left"/>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spacing w:line="360" w:lineRule="auto"/>
    </w:pPr>
    <w:rPr>
      <w:rFonts w:ascii="Arial" w:hAnsi="Arial"/>
      <w:sz w:val="24"/>
    </w:rPr>
  </w:style>
  <w:style w:type="paragraph" w:styleId="6">
    <w:name w:val="annotation text"/>
    <w:basedOn w:val="1"/>
    <w:autoRedefine/>
    <w:semiHidden/>
    <w:unhideWhenUsed/>
    <w:qFormat/>
    <w:uiPriority w:val="99"/>
    <w:pPr>
      <w:jc w:val="left"/>
    </w:pPr>
  </w:style>
  <w:style w:type="paragraph" w:styleId="7">
    <w:name w:val="Body Text"/>
    <w:basedOn w:val="1"/>
    <w:autoRedefine/>
    <w:qFormat/>
    <w:uiPriority w:val="1"/>
    <w:rPr>
      <w:sz w:val="24"/>
      <w:szCs w:val="24"/>
    </w:rPr>
  </w:style>
  <w:style w:type="paragraph" w:styleId="8">
    <w:name w:val="Body Text Indent 2"/>
    <w:basedOn w:val="1"/>
    <w:autoRedefine/>
    <w:qFormat/>
    <w:uiPriority w:val="99"/>
    <w:pPr>
      <w:ind w:firstLine="640" w:firstLineChars="200"/>
    </w:pPr>
  </w:style>
  <w:style w:type="paragraph" w:styleId="9">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Normal Indent1"/>
    <w:basedOn w:val="1"/>
    <w:autoRedefine/>
    <w:qFormat/>
    <w:uiPriority w:val="99"/>
    <w:pPr>
      <w:autoSpaceDE w:val="0"/>
      <w:autoSpaceDN w:val="0"/>
      <w:ind w:firstLine="624"/>
    </w:pPr>
    <w:rPr>
      <w:spacing w:val="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974</Words>
  <Characters>5552</Characters>
  <Lines>46</Lines>
  <Paragraphs>13</Paragraphs>
  <TotalTime>41</TotalTime>
  <ScaleCrop>false</ScaleCrop>
  <LinksUpToDate>false</LinksUpToDate>
  <CharactersWithSpaces>6513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2023-02-02T09:51:00Z</dcterms:created>
  <dc:creator>lenovo</dc:creator>
  <cp:lastModifiedBy>水兔子</cp:lastModifiedBy>
  <dcterms:modified xsi:type="dcterms:W3CDTF">2024-03-12T08:10:30Z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236B414118CB47869882100D216DA101_12</vt:lpwstr>
  </property>
</Properties>
</file>