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方正小标宋简体"/>
          <w:w w:val="115"/>
          <w:sz w:val="44"/>
          <w:szCs w:val="44"/>
        </w:rPr>
      </w:pPr>
      <w:r>
        <w:rPr>
          <w:rFonts w:hint="eastAsia" w:ascii="Times New Roman" w:hAnsi="Times New Roman" w:eastAsia="方正小标宋简体" w:cs="方正小标宋简体"/>
          <w:w w:val="115"/>
          <w:sz w:val="44"/>
          <w:szCs w:val="44"/>
        </w:rPr>
        <w:t>养老服务中心运营补贴项目</w:t>
      </w:r>
    </w:p>
    <w:p>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w w:val="115"/>
          <w:sz w:val="44"/>
          <w:szCs w:val="44"/>
        </w:rPr>
        <w:t>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Times New Roman" w:hAnsi="Times New Roman" w:eastAsia="黑体" w:cs="Times New Roman"/>
          <w:sz w:val="30"/>
          <w:szCs w:val="24"/>
        </w:rPr>
      </w:pPr>
      <w:r>
        <w:rPr>
          <w:rFonts w:hint="eastAsia" w:ascii="Times New Roman" w:hAnsi="Times New Roman" w:eastAsia="黑体" w:cs="Times New Roman"/>
          <w:sz w:val="30"/>
          <w:szCs w:val="24"/>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outlineLvl w:val="0"/>
        <w:rPr>
          <w:rFonts w:hint="eastAsia"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（一）项目概况。包括项目背景、主要内容及实施情况、资金投入和使用情况等。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根据</w:t>
      </w:r>
      <w:r>
        <w:rPr>
          <w:rFonts w:ascii="Times New Roman" w:hAnsi="Times New Roman" w:eastAsia="仿宋_GB2312" w:cs="Times New Roman"/>
          <w:color w:val="000000"/>
          <w:sz w:val="32"/>
          <w:szCs w:val="32"/>
        </w:rPr>
        <w:t>《淮北市构建多层次养老服务体系（2018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2020年）行动计划》</w:t>
      </w:r>
      <w:r>
        <w:rPr>
          <w:rFonts w:hint="eastAsia" w:ascii="Times New Roman" w:hAnsi="Times New Roman" w:eastAsia="仿宋_GB2312" w:cs="Times New Roman"/>
          <w:color w:val="000000"/>
          <w:sz w:val="32"/>
          <w:szCs w:val="32"/>
          <w:lang w:eastAsia="zh-CN"/>
        </w:rPr>
        <w:t>精神及</w:t>
      </w:r>
      <w:r>
        <w:rPr>
          <w:rFonts w:ascii="Times New Roman" w:hAnsi="Times New Roman" w:eastAsia="仿宋_GB2312" w:cs="Times New Roman"/>
          <w:color w:val="000000"/>
          <w:sz w:val="32"/>
          <w:szCs w:val="32"/>
        </w:rPr>
        <w:t>《淮北市居家和社区养老服务改革试点方案（2018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w:t>
      </w:r>
      <w:r>
        <w:rPr>
          <w:rFonts w:hint="eastAsia" w:ascii="Times New Roman" w:hAnsi="Times New Roman" w:eastAsia="仿宋_GB2312" w:cs="Times New Roman"/>
          <w:color w:val="000000"/>
          <w:sz w:val="32"/>
          <w:szCs w:val="32"/>
          <w:lang w:eastAsia="zh-CN"/>
        </w:rPr>
        <w:t>，全市在</w:t>
      </w:r>
      <w:r>
        <w:rPr>
          <w:rFonts w:hint="eastAsia" w:ascii="Times New Roman" w:hAnsi="Times New Roman" w:eastAsia="仿宋_GB2312" w:cs="Times New Roman"/>
          <w:color w:val="000000"/>
          <w:sz w:val="32"/>
          <w:szCs w:val="32"/>
          <w:lang w:val="en-US" w:eastAsia="zh-CN"/>
        </w:rPr>
        <w:t>2020年底已</w:t>
      </w:r>
      <w:r>
        <w:rPr>
          <w:rFonts w:hint="eastAsia" w:ascii="Times New Roman" w:hAnsi="Times New Roman" w:eastAsia="仿宋_GB2312"/>
          <w:sz w:val="32"/>
          <w:szCs w:val="32"/>
          <w:lang w:eastAsia="zh-CN"/>
        </w:rPr>
        <w:t>达到《安徽省智慧社区居家养老服务模式建设规范》要求的全省养老服务三级中心比例</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在全市范围内</w:t>
      </w:r>
      <w:r>
        <w:rPr>
          <w:rFonts w:ascii="Times New Roman" w:hAnsi="Times New Roman" w:eastAsia="仿宋_GB2312" w:cs="Times New Roman"/>
          <w:color w:val="000000"/>
          <w:sz w:val="32"/>
          <w:szCs w:val="32"/>
        </w:rPr>
        <w:t>基本建立起养老公共服务工作清单、养老机构安全生产管理等规范性制度</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明确县区、街道（镇）、社区（村）三级养老服务中心建设运营标准。</w:t>
      </w:r>
      <w:r>
        <w:rPr>
          <w:rFonts w:hint="eastAsia" w:ascii="Times New Roman" w:hAnsi="Times New Roman" w:eastAsia="仿宋_GB2312"/>
          <w:sz w:val="32"/>
          <w:szCs w:val="32"/>
        </w:rPr>
        <w:t>对</w:t>
      </w:r>
      <w:r>
        <w:rPr>
          <w:rFonts w:ascii="Times New Roman" w:hAnsi="Times New Roman" w:eastAsia="仿宋_GB2312"/>
          <w:sz w:val="32"/>
          <w:szCs w:val="32"/>
        </w:rPr>
        <w:t>符合</w:t>
      </w:r>
      <w:r>
        <w:rPr>
          <w:rFonts w:hint="eastAsia" w:ascii="Times New Roman" w:hAnsi="Times New Roman" w:eastAsia="仿宋_GB2312"/>
          <w:sz w:val="32"/>
          <w:szCs w:val="32"/>
          <w:lang w:eastAsia="zh-CN"/>
        </w:rPr>
        <w:t>条件的三级养老服务中心建设运营进行资金投入，</w:t>
      </w:r>
      <w:r>
        <w:rPr>
          <w:rFonts w:hint="eastAsia" w:ascii="Times New Roman" w:hAnsi="Times New Roman" w:eastAsia="仿宋_GB2312"/>
          <w:sz w:val="32"/>
          <w:szCs w:val="32"/>
          <w:lang w:val="en-US" w:eastAsia="zh-CN"/>
        </w:rPr>
        <w:t>2022年养老服务中心运营共投入预算资金348万元，全部按标准发放完毕。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项目绩效目标。包括总体目标和阶段性目标。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1．项目绩效总目标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以习近平新时代中国特色社会主义思想为指导，践行以人民为中心的发展思想，构建养老、孝老、敬老政策体系和社会环境，加快完善多层次养老服务体系，全</w:t>
      </w:r>
      <w:r>
        <w:rPr>
          <w:rFonts w:hint="eastAsia" w:ascii="Times New Roman" w:hAnsi="Times New Roman" w:eastAsia="仿宋_GB2312"/>
          <w:sz w:val="32"/>
          <w:szCs w:val="32"/>
          <w:lang w:eastAsia="zh-CN"/>
        </w:rPr>
        <w:t>市</w:t>
      </w:r>
      <w:r>
        <w:rPr>
          <w:rFonts w:ascii="Times New Roman" w:hAnsi="Times New Roman" w:eastAsia="仿宋_GB2312"/>
          <w:sz w:val="32"/>
          <w:szCs w:val="32"/>
        </w:rPr>
        <w:t>老年人养老服务获得感、满意度、幸福感明显增强。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2．项目绩效阶段性目标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通过实施</w:t>
      </w:r>
      <w:r>
        <w:rPr>
          <w:rFonts w:hint="eastAsia" w:ascii="Times New Roman" w:hAnsi="Times New Roman" w:eastAsia="仿宋_GB2312"/>
          <w:sz w:val="32"/>
          <w:szCs w:val="32"/>
          <w:lang w:eastAsia="zh-CN"/>
        </w:rPr>
        <w:t>养老服务中心运营补贴</w:t>
      </w:r>
      <w:r>
        <w:rPr>
          <w:rFonts w:ascii="Times New Roman" w:hAnsi="Times New Roman" w:eastAsia="仿宋_GB2312"/>
          <w:sz w:val="32"/>
          <w:szCs w:val="32"/>
        </w:rPr>
        <w:t>项目，为广大老年人提供宜居、休闲、文体娱乐的活动场所，解决他们在生活照料、医疗保健、精神</w:t>
      </w:r>
      <w:r>
        <w:rPr>
          <w:rFonts w:hint="eastAsia" w:ascii="Times New Roman" w:hAnsi="Times New Roman" w:eastAsia="仿宋_GB2312"/>
          <w:sz w:val="32"/>
          <w:szCs w:val="32"/>
          <w:lang w:eastAsia="zh-CN"/>
        </w:rPr>
        <w:t>慰藉</w:t>
      </w:r>
      <w:bookmarkStart w:id="1" w:name="_GoBack"/>
      <w:bookmarkEnd w:id="1"/>
      <w:r>
        <w:rPr>
          <w:rFonts w:ascii="Times New Roman" w:hAnsi="Times New Roman" w:eastAsia="仿宋_GB2312"/>
          <w:sz w:val="32"/>
          <w:szCs w:val="32"/>
        </w:rPr>
        <w:t>等方面的困难</w:t>
      </w:r>
      <w:r>
        <w:rPr>
          <w:rFonts w:hint="eastAsia" w:ascii="Times New Roman" w:hAnsi="Times New Roman" w:eastAsia="仿宋_GB2312"/>
          <w:sz w:val="32"/>
          <w:szCs w:val="32"/>
          <w:lang w:eastAsia="zh-CN"/>
        </w:rPr>
        <w:t>，</w:t>
      </w:r>
      <w:r>
        <w:rPr>
          <w:rFonts w:ascii="Times New Roman" w:hAnsi="Times New Roman" w:eastAsia="仿宋_GB2312"/>
          <w:sz w:val="32"/>
          <w:szCs w:val="32"/>
        </w:rPr>
        <w:t>不断丰富老年人的物质精神生活</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形成了全覆盖的社区居家养老服务供给体系，有效提升了我市老年人居家养老服务的能力。</w:t>
      </w:r>
    </w:p>
    <w:p>
      <w:pPr>
        <w:keepNext w:val="0"/>
        <w:keepLines w:val="0"/>
        <w:pageBreakBefore w:val="0"/>
        <w:widowControl w:val="0"/>
        <w:numPr>
          <w:ilvl w:val="0"/>
          <w:numId w:val="2"/>
        </w:numPr>
        <w:kinsoku/>
        <w:wordWrap/>
        <w:overflowPunct/>
        <w:topLinePunct w:val="0"/>
        <w:autoSpaceDE/>
        <w:autoSpaceDN/>
        <w:bidi w:val="0"/>
        <w:adjustRightInd/>
        <w:spacing w:line="560" w:lineRule="exact"/>
        <w:ind w:firstLine="640"/>
        <w:textAlignment w:val="auto"/>
        <w:outlineLvl w:val="0"/>
        <w:rPr>
          <w:rFonts w:ascii="Times New Roman" w:hAnsi="Times New Roman" w:eastAsia="黑体" w:cs="黑体"/>
          <w:sz w:val="32"/>
          <w:szCs w:val="32"/>
        </w:rPr>
      </w:pPr>
      <w:r>
        <w:rPr>
          <w:rFonts w:hint="eastAsia" w:ascii="Times New Roman" w:hAnsi="Times New Roman" w:eastAsia="黑体" w:cs="黑体"/>
          <w:sz w:val="32"/>
          <w:szCs w:val="32"/>
        </w:rPr>
        <w:t>绩效评价工作开展情况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楷体" w:cs="楷体"/>
          <w:b/>
          <w:bCs/>
          <w:sz w:val="32"/>
          <w:szCs w:val="32"/>
        </w:rPr>
      </w:pPr>
      <w:r>
        <w:rPr>
          <w:rFonts w:hint="eastAsia" w:ascii="Times New Roman" w:hAnsi="Times New Roman" w:eastAsia="楷体" w:cs="楷体"/>
          <w:b/>
          <w:bCs/>
          <w:sz w:val="32"/>
          <w:szCs w:val="32"/>
        </w:rPr>
        <w:t>（一）绩效评价目的、对象和范围</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1、绩效评价目的</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通过绩效评价，科学、客观、公正的对202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年度淮北市</w:t>
      </w:r>
      <w:r>
        <w:rPr>
          <w:rFonts w:hint="eastAsia" w:ascii="Times New Roman" w:hAnsi="Times New Roman" w:eastAsia="仿宋_GB2312"/>
          <w:sz w:val="32"/>
          <w:szCs w:val="32"/>
        </w:rPr>
        <w:t>养老服务中心运营补贴</w:t>
      </w:r>
      <w:r>
        <w:rPr>
          <w:rFonts w:hint="eastAsia" w:ascii="Times New Roman" w:hAnsi="Times New Roman" w:eastAsia="仿宋_GB2312" w:cs="仿宋_GB2312"/>
          <w:sz w:val="32"/>
          <w:szCs w:val="32"/>
        </w:rPr>
        <w:t>项目资金进行整体综合性评价，反映其社会效益，掌握工作任务完成情况，发现资金使用、管理以及项目执行等过程中存在的问题，进一步提高资金的使用效率，加快贯彻落实并完善相关政策，为下一步预算资金安排提供重要依据，推动民政事业持续健康发展。</w:t>
      </w:r>
    </w:p>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绩效评价对象和范围</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本次绩效评价对象</w:t>
      </w:r>
      <w:r>
        <w:rPr>
          <w:rFonts w:hint="eastAsia" w:ascii="Times New Roman" w:hAnsi="Times New Roman" w:eastAsia="仿宋_GB2312" w:cs="仿宋_GB2312"/>
          <w:sz w:val="32"/>
          <w:szCs w:val="32"/>
          <w:lang w:eastAsia="zh-CN"/>
        </w:rPr>
        <w:t>全市</w:t>
      </w:r>
      <w:r>
        <w:rPr>
          <w:rFonts w:hint="eastAsia" w:ascii="Times New Roman" w:hAnsi="Times New Roman" w:eastAsia="仿宋_GB2312"/>
          <w:sz w:val="32"/>
          <w:szCs w:val="32"/>
        </w:rPr>
        <w:t>养老服务中心运营补贴</w:t>
      </w:r>
      <w:r>
        <w:rPr>
          <w:rFonts w:hint="eastAsia" w:ascii="Times New Roman" w:hAnsi="Times New Roman" w:eastAsia="仿宋_GB2312" w:cs="仿宋_GB2312"/>
          <w:sz w:val="32"/>
          <w:szCs w:val="32"/>
        </w:rPr>
        <w:t>资金</w:t>
      </w:r>
      <w:r>
        <w:rPr>
          <w:rFonts w:hint="eastAsia" w:ascii="Times New Roman" w:hAnsi="Times New Roman" w:eastAsia="仿宋_GB2312" w:cs="仿宋_GB2312"/>
          <w:sz w:val="32"/>
          <w:szCs w:val="32"/>
          <w:lang w:val="en-US" w:eastAsia="zh-CN"/>
        </w:rPr>
        <w:t>348</w:t>
      </w:r>
      <w:r>
        <w:rPr>
          <w:rFonts w:hint="eastAsia" w:ascii="Times New Roman" w:hAnsi="Times New Roman" w:eastAsia="仿宋_GB2312" w:cs="仿宋_GB2312"/>
          <w:sz w:val="32"/>
          <w:szCs w:val="32"/>
        </w:rPr>
        <w:t>万元，项目实施主体为</w:t>
      </w:r>
      <w:r>
        <w:rPr>
          <w:rFonts w:hint="eastAsia" w:ascii="Times New Roman" w:hAnsi="Times New Roman" w:eastAsia="仿宋_GB2312" w:cs="仿宋_GB2312"/>
          <w:sz w:val="32"/>
          <w:szCs w:val="32"/>
          <w:lang w:eastAsia="zh-CN"/>
        </w:rPr>
        <w:t>各区民政局</w:t>
      </w:r>
      <w:r>
        <w:rPr>
          <w:rFonts w:hint="eastAsia" w:ascii="Times New Roman" w:hAnsi="Times New Roman" w:eastAsia="仿宋_GB2312" w:cs="仿宋_GB2312"/>
          <w:sz w:val="32"/>
          <w:szCs w:val="32"/>
        </w:rPr>
        <w:t>，评价基准日为202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楷体" w:cs="楷体"/>
          <w:b/>
          <w:bCs/>
          <w:sz w:val="32"/>
          <w:szCs w:val="32"/>
        </w:rPr>
      </w:pPr>
      <w:r>
        <w:rPr>
          <w:rFonts w:hint="eastAsia" w:ascii="Times New Roman" w:hAnsi="Times New Roman" w:eastAsia="楷体" w:cs="楷体"/>
          <w:b/>
          <w:bCs/>
          <w:sz w:val="32"/>
          <w:szCs w:val="32"/>
        </w:rPr>
        <w:t>（二）绩效评价原则、评价指标体系（附表说明）、评价方法、评价标准等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1、绩效评价原则</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（1）客观、科学、公正的原则：运用科学合理的方法，按照规范的程序，对项目绩效进行客观、公正的反映；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（2）绩效相关原则：针对具体支出及其产出绩效进行评价，评价结果清晰反映支出和产出绩效之间的紧密对应关系；</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（3）定量分析与定性分析的原则；</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（4）财政支出绩效评价与财政支出管理相结合的原则；</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（5）财政支出绩效评价贯彻事前、事中、事后的原则。</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2、评价指标体系</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本项目绩效评价建立了三级评价指标体系</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b/>
          <w:bCs/>
          <w:sz w:val="32"/>
          <w:szCs w:val="32"/>
        </w:rPr>
        <w:t>3、评价方法</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组织相关人员对202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w:t>
      </w:r>
      <w:r>
        <w:rPr>
          <w:rFonts w:hint="eastAsia" w:ascii="Times New Roman" w:hAnsi="Times New Roman" w:eastAsia="仿宋_GB2312"/>
          <w:sz w:val="32"/>
          <w:szCs w:val="32"/>
        </w:rPr>
        <w:t>养老服务中心运营补贴</w:t>
      </w:r>
      <w:r>
        <w:rPr>
          <w:rFonts w:hint="eastAsia" w:ascii="Times New Roman" w:hAnsi="Times New Roman" w:eastAsia="仿宋_GB2312" w:cs="仿宋_GB2312"/>
          <w:sz w:val="32"/>
          <w:szCs w:val="32"/>
        </w:rPr>
        <w:t>项目绩效进行自我评价。根据省、市相关政策制度，采用问卷调查、座谈等形式，收集相关信息资料，对各项指标进行逐项逐条审核，形成报告。</w:t>
      </w:r>
    </w:p>
    <w:p>
      <w:pPr>
        <w:keepNext w:val="0"/>
        <w:keepLines w:val="0"/>
        <w:pageBreakBefore w:val="0"/>
        <w:widowControl w:val="0"/>
        <w:kinsoku/>
        <w:wordWrap/>
        <w:overflowPunct/>
        <w:topLinePunct w:val="0"/>
        <w:autoSpaceDE/>
        <w:autoSpaceDN/>
        <w:bidi w:val="0"/>
        <w:adjustRightInd/>
        <w:snapToGrid w:val="0"/>
        <w:spacing w:line="560" w:lineRule="exact"/>
        <w:ind w:firstLine="642" w:firstLineChars="200"/>
        <w:textAlignment w:val="auto"/>
        <w:rPr>
          <w:rFonts w:ascii="Times New Roman" w:hAnsi="Times New Roman" w:eastAsia="黑体"/>
          <w:sz w:val="32"/>
          <w:szCs w:val="32"/>
        </w:rPr>
      </w:pPr>
      <w:r>
        <w:rPr>
          <w:rFonts w:hint="eastAsia" w:ascii="Times New Roman" w:hAnsi="Times New Roman" w:eastAsia="仿宋_GB2312" w:cs="仿宋_GB2312"/>
          <w:b/>
          <w:bCs/>
          <w:sz w:val="32"/>
          <w:szCs w:val="32"/>
        </w:rPr>
        <w:t>4、评价标准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项目按照执行率指标、产出指标、效益指标、满意度指标四项一级指标分别下设相应的二级和三级指标进行绩效评价。评分分为优秀、良好、中等和差四个等次。满分100分，分数在90分(含90分)以上评优秀;分数在80(含80分) -90之间评良好;分数在60(含60分) -80分为中，60分以下评差。</w:t>
      </w:r>
    </w:p>
    <w:p>
      <w:pPr>
        <w:keepNext w:val="0"/>
        <w:keepLines w:val="0"/>
        <w:pageBreakBefore w:val="0"/>
        <w:widowControl w:val="0"/>
        <w:numPr>
          <w:ilvl w:val="0"/>
          <w:numId w:val="4"/>
        </w:numPr>
        <w:kinsoku/>
        <w:wordWrap/>
        <w:overflowPunct/>
        <w:topLinePunct w:val="0"/>
        <w:autoSpaceDE/>
        <w:autoSpaceDN/>
        <w:bidi w:val="0"/>
        <w:adjustRightInd/>
        <w:spacing w:line="560" w:lineRule="exact"/>
        <w:ind w:firstLine="642" w:firstLineChars="20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绩效评价工作过程</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本项目绩效评价工作的过程：</w:t>
      </w:r>
      <w:r>
        <w:rPr>
          <w:rFonts w:hint="eastAsia" w:ascii="Times New Roman" w:hAnsi="Times New Roman" w:eastAsia="仿宋_GB2312" w:cs="仿宋_GB2312"/>
          <w:b/>
          <w:bCs/>
          <w:sz w:val="32"/>
          <w:szCs w:val="32"/>
        </w:rPr>
        <w:t>一是</w:t>
      </w:r>
      <w:r>
        <w:rPr>
          <w:rFonts w:hint="eastAsia" w:ascii="Times New Roman" w:hAnsi="Times New Roman" w:eastAsia="仿宋_GB2312" w:cs="仿宋_GB2312"/>
          <w:sz w:val="32"/>
          <w:szCs w:val="32"/>
        </w:rPr>
        <w:t>加强组织领导，领导高度重视，提前制定绩效评价工作方案，明确工作要求及工作步骤；</w:t>
      </w:r>
      <w:r>
        <w:rPr>
          <w:rFonts w:hint="eastAsia" w:ascii="Times New Roman" w:hAnsi="Times New Roman" w:eastAsia="仿宋_GB2312" w:cs="仿宋_GB2312"/>
          <w:b/>
          <w:bCs/>
          <w:sz w:val="32"/>
          <w:szCs w:val="32"/>
        </w:rPr>
        <w:t>二是</w:t>
      </w:r>
      <w:r>
        <w:rPr>
          <w:rFonts w:hint="eastAsia" w:ascii="Times New Roman" w:hAnsi="Times New Roman" w:eastAsia="仿宋_GB2312" w:cs="仿宋_GB2312"/>
          <w:sz w:val="32"/>
          <w:szCs w:val="32"/>
        </w:rPr>
        <w:t>客观评价，按照要求合理设置评价指标，对照绩效指标，开展实际与计划的对比分析，实事求是地评价完成情况；</w:t>
      </w:r>
      <w:r>
        <w:rPr>
          <w:rFonts w:hint="eastAsia" w:ascii="Times New Roman" w:hAnsi="Times New Roman" w:eastAsia="仿宋_GB2312" w:cs="仿宋_GB2312"/>
          <w:b/>
          <w:bCs/>
          <w:sz w:val="32"/>
          <w:szCs w:val="32"/>
        </w:rPr>
        <w:t>三是</w:t>
      </w:r>
      <w:r>
        <w:rPr>
          <w:rFonts w:hint="eastAsia" w:ascii="Times New Roman" w:hAnsi="Times New Roman" w:eastAsia="仿宋_GB2312" w:cs="仿宋_GB2312"/>
          <w:sz w:val="32"/>
          <w:szCs w:val="32"/>
        </w:rPr>
        <w:t>明确责任，建立绩效评价工作责任制，将绩效评价工作责任明确到部门和相关责任人。</w:t>
      </w:r>
    </w:p>
    <w:p>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textAlignment w:val="auto"/>
        <w:rPr>
          <w:rFonts w:ascii="Times New Roman" w:hAnsi="Times New Roman" w:eastAsia="黑体" w:cs="黑体"/>
          <w:sz w:val="32"/>
          <w:szCs w:val="32"/>
        </w:rPr>
      </w:pPr>
      <w:r>
        <w:rPr>
          <w:rFonts w:hint="eastAsia" w:ascii="Times New Roman" w:hAnsi="Times New Roman" w:eastAsia="黑体" w:cs="黑体"/>
          <w:sz w:val="32"/>
          <w:szCs w:val="32"/>
        </w:rPr>
        <w:t>综合评价情况及评价结论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各区民政局</w:t>
      </w:r>
      <w:r>
        <w:rPr>
          <w:rFonts w:hint="eastAsia" w:ascii="Times New Roman" w:hAnsi="Times New Roman" w:eastAsia="仿宋_GB2312" w:cs="仿宋_GB2312"/>
          <w:sz w:val="32"/>
          <w:szCs w:val="32"/>
        </w:rPr>
        <w:t>较好地完成</w:t>
      </w:r>
      <w:r>
        <w:rPr>
          <w:rFonts w:hint="eastAsia" w:ascii="Times New Roman" w:hAnsi="Times New Roman" w:eastAsia="仿宋_GB2312" w:cs="仿宋_GB2312"/>
          <w:sz w:val="32"/>
          <w:szCs w:val="32"/>
          <w:lang w:eastAsia="zh-CN"/>
        </w:rPr>
        <w:t>了</w:t>
      </w:r>
      <w:r>
        <w:rPr>
          <w:rFonts w:hint="eastAsia" w:ascii="Times New Roman" w:hAnsi="Times New Roman" w:eastAsia="仿宋_GB2312"/>
          <w:sz w:val="32"/>
          <w:szCs w:val="32"/>
        </w:rPr>
        <w:t>养老服务中心运营补贴</w:t>
      </w:r>
      <w:r>
        <w:rPr>
          <w:rFonts w:hint="eastAsia" w:ascii="Times New Roman" w:hAnsi="Times New Roman" w:eastAsia="仿宋_GB2312" w:cs="仿宋_GB2312"/>
          <w:sz w:val="32"/>
          <w:szCs w:val="32"/>
        </w:rPr>
        <w:t>项目的各项工作，</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全市</w:t>
      </w:r>
      <w:r>
        <w:rPr>
          <w:rFonts w:hint="eastAsia" w:ascii="Times New Roman" w:hAnsi="Times New Roman" w:eastAsia="仿宋_GB2312" w:cs="仿宋_GB2312"/>
          <w:sz w:val="32"/>
          <w:szCs w:val="32"/>
          <w:lang w:eastAsia="zh-CN"/>
        </w:rPr>
        <w:t>已</w:t>
      </w:r>
      <w:r>
        <w:rPr>
          <w:rFonts w:hint="eastAsia" w:ascii="Times New Roman" w:hAnsi="Times New Roman" w:eastAsia="仿宋_GB2312" w:cs="仿宋_GB2312"/>
          <w:sz w:val="32"/>
          <w:szCs w:val="32"/>
        </w:rPr>
        <w:t>建成</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186家三级养老服务中心进行运营</w:t>
      </w:r>
      <w:r>
        <w:rPr>
          <w:rFonts w:hint="eastAsia" w:ascii="Times New Roman" w:hAnsi="Times New Roman" w:eastAsia="仿宋_GB2312" w:cs="仿宋_GB2312"/>
          <w:sz w:val="32"/>
          <w:szCs w:val="32"/>
        </w:rPr>
        <w:t>，形成了全覆盖的社区居家养老服务供给体系。</w:t>
      </w:r>
      <w:r>
        <w:rPr>
          <w:rFonts w:hint="eastAsia" w:ascii="Times New Roman" w:hAnsi="Times New Roman" w:eastAsia="仿宋_GB2312"/>
          <w:sz w:val="32"/>
          <w:szCs w:val="32"/>
          <w:lang w:eastAsia="zh-CN"/>
        </w:rPr>
        <w:t>发放</w:t>
      </w:r>
      <w:r>
        <w:rPr>
          <w:rFonts w:hint="eastAsia" w:ascii="Times New Roman" w:hAnsi="Times New Roman" w:eastAsia="仿宋_GB2312"/>
          <w:sz w:val="32"/>
          <w:szCs w:val="32"/>
          <w:lang w:val="en-US" w:eastAsia="zh-CN"/>
        </w:rPr>
        <w:t>348万元，</w:t>
      </w:r>
      <w:r>
        <w:rPr>
          <w:rFonts w:hint="eastAsia" w:ascii="Times New Roman" w:hAnsi="Times New Roman" w:eastAsia="仿宋_GB2312" w:cs="仿宋_GB2312"/>
          <w:sz w:val="32"/>
          <w:szCs w:val="32"/>
        </w:rPr>
        <w:t>充分发挥了资金的重要作用。</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根据部门整体支出绩效评价指标体系评分表，经认真逐条自评，202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年淮北市</w:t>
      </w:r>
      <w:r>
        <w:rPr>
          <w:rFonts w:hint="eastAsia" w:ascii="Times New Roman" w:hAnsi="Times New Roman" w:eastAsia="仿宋_GB2312"/>
          <w:sz w:val="32"/>
          <w:szCs w:val="32"/>
        </w:rPr>
        <w:t>养老服务中心运营补贴</w:t>
      </w:r>
      <w:r>
        <w:rPr>
          <w:rFonts w:hint="eastAsia" w:ascii="Times New Roman" w:hAnsi="Times New Roman" w:eastAsia="仿宋_GB2312" w:cs="仿宋_GB2312"/>
          <w:sz w:val="32"/>
          <w:szCs w:val="32"/>
        </w:rPr>
        <w:t>项目支出绩效自评得分100分，档次“优秀”。</w:t>
      </w:r>
    </w:p>
    <w:p>
      <w:pPr>
        <w:keepNext w:val="0"/>
        <w:keepLines w:val="0"/>
        <w:pageBreakBefore w:val="0"/>
        <w:widowControl w:val="0"/>
        <w:numPr>
          <w:ilvl w:val="0"/>
          <w:numId w:val="5"/>
        </w:numPr>
        <w:kinsoku/>
        <w:wordWrap/>
        <w:overflowPunct/>
        <w:topLinePunct w:val="0"/>
        <w:autoSpaceDE/>
        <w:autoSpaceDN/>
        <w:bidi w:val="0"/>
        <w:adjustRightInd/>
        <w:spacing w:line="560" w:lineRule="exact"/>
        <w:ind w:firstLine="640"/>
        <w:textAlignment w:val="auto"/>
        <w:rPr>
          <w:rFonts w:ascii="Times New Roman" w:hAnsi="Times New Roman" w:eastAsia="黑体" w:cs="黑体"/>
          <w:sz w:val="32"/>
          <w:szCs w:val="32"/>
        </w:rPr>
      </w:pPr>
      <w:r>
        <w:rPr>
          <w:rFonts w:hint="eastAsia" w:ascii="Times New Roman" w:hAnsi="Times New Roman" w:eastAsia="黑体" w:cs="黑体"/>
          <w:sz w:val="32"/>
          <w:szCs w:val="32"/>
        </w:rPr>
        <w:t>绩效评价指标分析</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（一）项目决策情况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sz w:val="32"/>
          <w:szCs w:val="32"/>
          <w:lang w:eastAsia="zh-CN"/>
        </w:rPr>
        <w:t>根据</w:t>
      </w:r>
      <w:r>
        <w:rPr>
          <w:rFonts w:ascii="Times New Roman" w:hAnsi="Times New Roman" w:eastAsia="仿宋_GB2312" w:cs="Times New Roman"/>
          <w:color w:val="000000"/>
          <w:sz w:val="32"/>
          <w:szCs w:val="32"/>
        </w:rPr>
        <w:t>《淮北市构建多层次养老服务体系（2018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2020年）行动计划》</w:t>
      </w:r>
      <w:r>
        <w:rPr>
          <w:rFonts w:hint="eastAsia" w:ascii="Times New Roman" w:hAnsi="Times New Roman" w:eastAsia="仿宋_GB2312" w:cs="Times New Roman"/>
          <w:color w:val="000000"/>
          <w:sz w:val="32"/>
          <w:szCs w:val="32"/>
          <w:lang w:eastAsia="zh-CN"/>
        </w:rPr>
        <w:t>精神及</w:t>
      </w:r>
      <w:r>
        <w:rPr>
          <w:rFonts w:ascii="Times New Roman" w:hAnsi="Times New Roman" w:eastAsia="仿宋_GB2312" w:cs="Times New Roman"/>
          <w:color w:val="000000"/>
          <w:sz w:val="32"/>
          <w:szCs w:val="32"/>
        </w:rPr>
        <w:t>《淮北市居家和社区养老服务改革试点方案（2018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w:t>
      </w:r>
      <w:r>
        <w:rPr>
          <w:rFonts w:hint="eastAsia" w:ascii="Times New Roman" w:hAnsi="Times New Roman" w:eastAsia="仿宋_GB2312"/>
          <w:sz w:val="32"/>
          <w:szCs w:val="32"/>
          <w:lang w:eastAsia="zh-CN"/>
        </w:rPr>
        <w:t>文件精神，</w:t>
      </w:r>
      <w:r>
        <w:rPr>
          <w:rFonts w:hint="eastAsia" w:ascii="Times New Roman" w:hAnsi="Times New Roman" w:eastAsia="仿宋_GB2312"/>
          <w:sz w:val="32"/>
          <w:szCs w:val="32"/>
        </w:rPr>
        <w:t>对</w:t>
      </w:r>
      <w:r>
        <w:rPr>
          <w:rFonts w:ascii="Times New Roman" w:hAnsi="Times New Roman" w:eastAsia="仿宋_GB2312"/>
          <w:sz w:val="32"/>
          <w:szCs w:val="32"/>
        </w:rPr>
        <w:t>符合</w:t>
      </w:r>
      <w:r>
        <w:rPr>
          <w:rFonts w:hint="eastAsia" w:ascii="Times New Roman" w:hAnsi="Times New Roman" w:eastAsia="仿宋_GB2312"/>
          <w:sz w:val="32"/>
          <w:szCs w:val="32"/>
          <w:lang w:eastAsia="zh-CN"/>
        </w:rPr>
        <w:t>建设条件的三级养老服务中心建设进行资金投入</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不断完善</w:t>
      </w:r>
      <w:r>
        <w:rPr>
          <w:rFonts w:hint="eastAsia" w:ascii="Times New Roman" w:hAnsi="Times New Roman" w:eastAsia="仿宋_GB2312" w:cs="仿宋_GB2312"/>
          <w:sz w:val="32"/>
          <w:szCs w:val="32"/>
          <w:lang w:eastAsia="zh-CN"/>
        </w:rPr>
        <w:t>我市养老</w:t>
      </w:r>
      <w:r>
        <w:rPr>
          <w:rFonts w:hint="eastAsia" w:ascii="Times New Roman" w:hAnsi="Times New Roman" w:eastAsia="仿宋_GB2312" w:cs="仿宋_GB2312"/>
          <w:sz w:val="32"/>
          <w:szCs w:val="32"/>
        </w:rPr>
        <w:t>体系</w:t>
      </w:r>
      <w:r>
        <w:rPr>
          <w:rFonts w:hint="eastAsia" w:ascii="Times New Roman" w:hAnsi="Times New Roman" w:eastAsia="仿宋_GB2312" w:cs="仿宋_GB2312"/>
          <w:sz w:val="32"/>
          <w:szCs w:val="32"/>
          <w:lang w:eastAsia="zh-CN"/>
        </w:rPr>
        <w:t>建设，规范养老服务中心运营</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年度项目经费</w:t>
      </w:r>
      <w:r>
        <w:rPr>
          <w:rFonts w:hint="eastAsia" w:ascii="Times New Roman" w:hAnsi="Times New Roman" w:eastAsia="仿宋_GB2312" w:cs="仿宋_GB2312"/>
          <w:sz w:val="32"/>
          <w:szCs w:val="32"/>
          <w:lang w:val="en-US" w:eastAsia="zh-CN"/>
        </w:rPr>
        <w:t>348</w:t>
      </w:r>
      <w:r>
        <w:rPr>
          <w:rFonts w:hint="eastAsia" w:ascii="Times New Roman" w:hAnsi="Times New Roman" w:eastAsia="仿宋_GB2312" w:cs="仿宋_GB2312"/>
          <w:sz w:val="32"/>
          <w:szCs w:val="32"/>
        </w:rPr>
        <w:t>万元全部用于对全市</w:t>
      </w:r>
      <w:r>
        <w:rPr>
          <w:rFonts w:hint="eastAsia" w:ascii="Times New Roman" w:hAnsi="Times New Roman" w:eastAsia="仿宋_GB2312"/>
          <w:sz w:val="32"/>
          <w:szCs w:val="32"/>
          <w:lang w:eastAsia="zh-CN"/>
        </w:rPr>
        <w:t>三级养老服务中心运营</w:t>
      </w:r>
      <w:r>
        <w:rPr>
          <w:rFonts w:hint="eastAsia" w:ascii="Times New Roman" w:hAnsi="Times New Roman" w:eastAsia="仿宋_GB2312" w:cs="仿宋_GB2312"/>
          <w:sz w:val="32"/>
          <w:szCs w:val="32"/>
        </w:rPr>
        <w:t>。</w:t>
      </w:r>
    </w:p>
    <w:p>
      <w:pPr>
        <w:keepNext w:val="0"/>
        <w:keepLines w:val="0"/>
        <w:pageBreakBefore w:val="0"/>
        <w:widowControl w:val="0"/>
        <w:numPr>
          <w:ilvl w:val="0"/>
          <w:numId w:val="6"/>
        </w:numPr>
        <w:kinsoku/>
        <w:wordWrap/>
        <w:overflowPunct/>
        <w:topLinePunct w:val="0"/>
        <w:autoSpaceDE/>
        <w:autoSpaceDN/>
        <w:bidi w:val="0"/>
        <w:adjustRightInd/>
        <w:spacing w:line="560" w:lineRule="exact"/>
        <w:ind w:firstLine="64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项目过程情况</w:t>
      </w:r>
    </w:p>
    <w:p>
      <w:pPr>
        <w:keepNext w:val="0"/>
        <w:keepLines w:val="0"/>
        <w:pageBreakBefore w:val="0"/>
        <w:widowControl w:val="0"/>
        <w:kinsoku/>
        <w:wordWrap/>
        <w:overflowPunct/>
        <w:topLinePunct w:val="0"/>
        <w:autoSpaceDE/>
        <w:autoSpaceDN/>
        <w:bidi w:val="0"/>
        <w:adjustRightInd/>
        <w:spacing w:line="560" w:lineRule="exact"/>
        <w:ind w:firstLine="642"/>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市政府出台了</w:t>
      </w:r>
      <w:r>
        <w:rPr>
          <w:rFonts w:ascii="Times New Roman" w:hAnsi="Times New Roman" w:eastAsia="仿宋_GB2312" w:cs="Times New Roman"/>
          <w:color w:val="000000"/>
          <w:sz w:val="32"/>
          <w:szCs w:val="32"/>
        </w:rPr>
        <w:t>《淮北市构建多层次养老服务体系（2018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2020年）行动计划》</w:t>
      </w:r>
      <w:r>
        <w:rPr>
          <w:rFonts w:hint="eastAsia" w:ascii="Times New Roman" w:hAnsi="Times New Roman" w:eastAsia="仿宋_GB2312" w:cs="Times New Roman"/>
          <w:color w:val="000000"/>
          <w:sz w:val="32"/>
          <w:szCs w:val="32"/>
          <w:lang w:eastAsia="zh-CN"/>
        </w:rPr>
        <w:t>精神及</w:t>
      </w:r>
      <w:r>
        <w:rPr>
          <w:rFonts w:ascii="Times New Roman" w:hAnsi="Times New Roman" w:eastAsia="仿宋_GB2312" w:cs="Times New Roman"/>
          <w:color w:val="000000"/>
          <w:sz w:val="32"/>
          <w:szCs w:val="32"/>
        </w:rPr>
        <w:t>《淮北市居家和社区养老服务改革试点方案（2018</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2020年）》</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区民政局</w:t>
      </w:r>
      <w:r>
        <w:rPr>
          <w:rFonts w:hint="eastAsia" w:ascii="Times New Roman" w:hAnsi="Times New Roman" w:eastAsia="仿宋_GB2312" w:cs="仿宋_GB2312"/>
          <w:sz w:val="32"/>
          <w:szCs w:val="32"/>
        </w:rPr>
        <w:t>制定了工作流程图，业务、财务管理制度健全，建立了监控机制，并采取监控措施。</w:t>
      </w:r>
    </w:p>
    <w:p>
      <w:pPr>
        <w:keepNext w:val="0"/>
        <w:keepLines w:val="0"/>
        <w:pageBreakBefore w:val="0"/>
        <w:widowControl w:val="0"/>
        <w:numPr>
          <w:ilvl w:val="0"/>
          <w:numId w:val="6"/>
        </w:numPr>
        <w:kinsoku/>
        <w:wordWrap/>
        <w:overflowPunct/>
        <w:topLinePunct w:val="0"/>
        <w:autoSpaceDE/>
        <w:autoSpaceDN/>
        <w:bidi w:val="0"/>
        <w:adjustRightInd/>
        <w:spacing w:line="560" w:lineRule="exact"/>
        <w:ind w:firstLine="64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项目产出情况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年项目资金全部到位，并全部发放，共</w:t>
      </w:r>
      <w:r>
        <w:rPr>
          <w:rFonts w:hint="eastAsia" w:ascii="Times New Roman" w:hAnsi="Times New Roman" w:eastAsia="仿宋_GB2312" w:cs="仿宋_GB2312"/>
          <w:sz w:val="32"/>
          <w:szCs w:val="32"/>
          <w:lang w:eastAsia="zh-CN"/>
        </w:rPr>
        <w:t>发放</w:t>
      </w:r>
      <w:r>
        <w:rPr>
          <w:rFonts w:hint="eastAsia" w:ascii="Times New Roman" w:hAnsi="Times New Roman" w:eastAsia="仿宋_GB2312" w:cs="仿宋_GB2312"/>
          <w:sz w:val="32"/>
          <w:szCs w:val="32"/>
        </w:rPr>
        <w:t>金额</w:t>
      </w:r>
      <w:r>
        <w:rPr>
          <w:rFonts w:hint="eastAsia" w:ascii="Times New Roman" w:hAnsi="Times New Roman" w:eastAsia="仿宋_GB2312" w:cs="仿宋_GB2312"/>
          <w:sz w:val="32"/>
          <w:szCs w:val="32"/>
          <w:lang w:val="en-US" w:eastAsia="zh-CN"/>
        </w:rPr>
        <w:t>348</w:t>
      </w:r>
      <w:r>
        <w:rPr>
          <w:rFonts w:hint="eastAsia" w:ascii="Times New Roman" w:hAnsi="Times New Roman" w:eastAsia="仿宋_GB2312" w:cs="仿宋_GB2312"/>
          <w:sz w:val="32"/>
          <w:szCs w:val="32"/>
        </w:rPr>
        <w:t>万元，完成率100%。工作过程中，严格执行文件发放标准，不存在超出文件规定发放，完成率100%。</w:t>
      </w:r>
    </w:p>
    <w:p>
      <w:pPr>
        <w:keepNext w:val="0"/>
        <w:keepLines w:val="0"/>
        <w:pageBreakBefore w:val="0"/>
        <w:widowControl w:val="0"/>
        <w:numPr>
          <w:ilvl w:val="0"/>
          <w:numId w:val="6"/>
        </w:numPr>
        <w:kinsoku/>
        <w:wordWrap/>
        <w:overflowPunct/>
        <w:topLinePunct w:val="0"/>
        <w:autoSpaceDE/>
        <w:autoSpaceDN/>
        <w:bidi w:val="0"/>
        <w:adjustRightInd/>
        <w:spacing w:line="560" w:lineRule="exact"/>
        <w:ind w:firstLine="64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rPr>
        <w:t>项目效益情况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年淮北市</w:t>
      </w:r>
      <w:r>
        <w:rPr>
          <w:rFonts w:hint="eastAsia" w:ascii="Times New Roman" w:hAnsi="Times New Roman" w:eastAsia="仿宋_GB2312" w:cs="仿宋_GB2312"/>
          <w:sz w:val="32"/>
          <w:szCs w:val="32"/>
          <w:lang w:eastAsia="zh-CN"/>
        </w:rPr>
        <w:t>没有发生</w:t>
      </w:r>
      <w:r>
        <w:rPr>
          <w:rFonts w:hint="eastAsia" w:ascii="Times New Roman" w:hAnsi="Times New Roman" w:eastAsia="仿宋_GB2312" w:cs="仿宋_GB2312"/>
          <w:sz w:val="32"/>
          <w:szCs w:val="32"/>
          <w:lang w:val="en-US" w:eastAsia="zh-CN"/>
        </w:rPr>
        <w:t>养老服务中心运营补贴</w:t>
      </w:r>
      <w:r>
        <w:rPr>
          <w:rFonts w:hint="eastAsia" w:ascii="Times New Roman" w:hAnsi="Times New Roman" w:eastAsia="仿宋_GB2312" w:cs="仿宋_GB2312"/>
          <w:sz w:val="32"/>
          <w:szCs w:val="32"/>
        </w:rPr>
        <w:t>项目引发的上访事件和负面新闻。在市政府、市财政的支持下，</w:t>
      </w:r>
      <w:r>
        <w:rPr>
          <w:rFonts w:hint="eastAsia" w:ascii="Times New Roman" w:hAnsi="Times New Roman" w:eastAsia="仿宋_GB2312" w:cs="仿宋_GB2312"/>
          <w:sz w:val="32"/>
          <w:szCs w:val="32"/>
          <w:lang w:eastAsia="zh-CN"/>
        </w:rPr>
        <w:t>区县民政部门</w:t>
      </w:r>
      <w:r>
        <w:rPr>
          <w:rFonts w:hint="eastAsia" w:ascii="Times New Roman" w:hAnsi="Times New Roman" w:eastAsia="仿宋_GB2312" w:cs="仿宋_GB2312"/>
          <w:sz w:val="32"/>
          <w:szCs w:val="32"/>
        </w:rPr>
        <w:t>进一步健全完善了</w:t>
      </w:r>
      <w:r>
        <w:rPr>
          <w:rFonts w:hint="eastAsia" w:ascii="Times New Roman" w:hAnsi="Times New Roman" w:eastAsia="仿宋_GB2312" w:cs="仿宋_GB2312"/>
          <w:sz w:val="32"/>
          <w:szCs w:val="32"/>
          <w:lang w:eastAsia="zh-CN"/>
        </w:rPr>
        <w:t>三级</w:t>
      </w:r>
      <w:r>
        <w:rPr>
          <w:rFonts w:hint="eastAsia" w:ascii="Times New Roman" w:hAnsi="Times New Roman" w:eastAsia="仿宋_GB2312" w:cs="仿宋_GB2312"/>
          <w:sz w:val="32"/>
          <w:szCs w:val="32"/>
          <w:lang w:val="en-US" w:eastAsia="zh-CN"/>
        </w:rPr>
        <w:t>养老服务中心建设</w:t>
      </w:r>
      <w:r>
        <w:rPr>
          <w:rFonts w:hint="eastAsia" w:ascii="Times New Roman" w:hAnsi="Times New Roman" w:eastAsia="仿宋_GB2312" w:cs="仿宋_GB2312"/>
          <w:sz w:val="32"/>
          <w:szCs w:val="32"/>
        </w:rPr>
        <w:t>制度，让</w:t>
      </w:r>
      <w:r>
        <w:rPr>
          <w:rFonts w:hint="eastAsia" w:ascii="Times New Roman" w:hAnsi="Times New Roman" w:eastAsia="仿宋_GB2312" w:cs="仿宋_GB2312"/>
          <w:sz w:val="32"/>
          <w:szCs w:val="32"/>
          <w:lang w:eastAsia="zh-CN"/>
        </w:rPr>
        <w:t>老年人</w:t>
      </w:r>
      <w:r>
        <w:rPr>
          <w:rFonts w:hint="eastAsia" w:ascii="Times New Roman" w:hAnsi="Times New Roman" w:eastAsia="仿宋_GB2312" w:cs="仿宋_GB2312"/>
          <w:sz w:val="32"/>
          <w:szCs w:val="32"/>
        </w:rPr>
        <w:t>感受到了政府的关心和温暖，完成率100%。</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五、主要经验及做法</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eastAsia="zh-CN"/>
        </w:rPr>
        <w:t>进一步规范三级</w:t>
      </w:r>
      <w:r>
        <w:rPr>
          <w:rFonts w:hint="eastAsia" w:ascii="Times New Roman" w:hAnsi="Times New Roman" w:eastAsia="仿宋_GB2312" w:cs="仿宋_GB2312"/>
          <w:sz w:val="32"/>
          <w:szCs w:val="32"/>
          <w:lang w:val="en-US" w:eastAsia="zh-CN"/>
        </w:rPr>
        <w:t>养老服务中心运营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全市</w:t>
      </w:r>
      <w:r>
        <w:rPr>
          <w:rFonts w:hint="eastAsia" w:ascii="Times New Roman" w:hAnsi="Times New Roman" w:eastAsia="仿宋_GB2312" w:cs="仿宋_GB2312"/>
          <w:sz w:val="32"/>
          <w:szCs w:val="32"/>
          <w:lang w:eastAsia="zh-CN"/>
        </w:rPr>
        <w:t>已</w:t>
      </w:r>
      <w:r>
        <w:rPr>
          <w:rFonts w:hint="eastAsia" w:ascii="Times New Roman" w:hAnsi="Times New Roman" w:eastAsia="仿宋_GB2312" w:cs="仿宋_GB2312"/>
          <w:sz w:val="32"/>
          <w:szCs w:val="32"/>
        </w:rPr>
        <w:t>建成</w:t>
      </w:r>
      <w:r>
        <w:rPr>
          <w:rFonts w:hint="eastAsia" w:ascii="Times New Roman" w:hAnsi="Times New Roman" w:eastAsia="仿宋_GB2312" w:cs="仿宋_GB2312"/>
          <w:sz w:val="32"/>
          <w:szCs w:val="32"/>
          <w:lang w:eastAsia="zh-CN"/>
        </w:rPr>
        <w:t>的</w:t>
      </w:r>
      <w:r>
        <w:rPr>
          <w:rFonts w:hint="eastAsia" w:ascii="Times New Roman" w:hAnsi="Times New Roman" w:eastAsia="仿宋_GB2312" w:cs="仿宋_GB2312"/>
          <w:sz w:val="32"/>
          <w:szCs w:val="32"/>
          <w:lang w:val="en-US" w:eastAsia="zh-CN"/>
        </w:rPr>
        <w:t>186家三级养老服务中心进行运营</w:t>
      </w:r>
      <w:r>
        <w:rPr>
          <w:rFonts w:hint="eastAsia" w:ascii="Times New Roman" w:hAnsi="Times New Roman" w:eastAsia="仿宋_GB2312" w:cs="仿宋_GB2312"/>
          <w:sz w:val="32"/>
          <w:szCs w:val="32"/>
        </w:rPr>
        <w:t>，形成了全覆盖的社区居家养老服务供给体系</w:t>
      </w:r>
      <w:r>
        <w:rPr>
          <w:rFonts w:hint="eastAsia" w:ascii="Times New Roman" w:hAnsi="Times New Roman" w:eastAsia="仿宋_GB2312" w:cs="仿宋_GB2312"/>
          <w:sz w:val="32"/>
          <w:szCs w:val="32"/>
          <w:lang w:eastAsia="zh-CN"/>
        </w:rPr>
        <w:t>，在建设过程中</w:t>
      </w:r>
      <w:r>
        <w:rPr>
          <w:rFonts w:hint="eastAsia" w:ascii="Times New Roman" w:hAnsi="Times New Roman" w:eastAsia="仿宋_GB2312" w:cs="仿宋_GB2312"/>
          <w:sz w:val="32"/>
          <w:szCs w:val="32"/>
        </w:rPr>
        <w:t>严格资金管理，切实保障资金的安全、规范；按照公开、公平、公正的原则，广泛接受社会监督，在资金拨付和发放方面，严格审批程序，确保手续完备。</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、存在的问题及原因分析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2" w:firstLineChars="20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lang w:eastAsia="zh-CN"/>
        </w:rPr>
        <w:t>（一）</w:t>
      </w:r>
      <w:r>
        <w:rPr>
          <w:rFonts w:hint="eastAsia" w:ascii="Times New Roman" w:hAnsi="Times New Roman" w:eastAsia="楷体" w:cs="楷体"/>
          <w:b/>
          <w:bCs/>
          <w:sz w:val="32"/>
          <w:szCs w:val="32"/>
        </w:rPr>
        <w:t>存在的问题</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养老中心建设</w:t>
      </w:r>
      <w:r>
        <w:rPr>
          <w:rFonts w:hint="eastAsia" w:ascii="Times New Roman" w:hAnsi="Times New Roman" w:eastAsia="仿宋_GB2312" w:cs="仿宋_GB2312"/>
          <w:sz w:val="32"/>
          <w:szCs w:val="32"/>
        </w:rPr>
        <w:t>工作需要进一步</w:t>
      </w:r>
      <w:r>
        <w:rPr>
          <w:rFonts w:hint="eastAsia" w:ascii="Times New Roman" w:hAnsi="Times New Roman" w:eastAsia="仿宋_GB2312" w:cs="仿宋_GB2312"/>
          <w:sz w:val="32"/>
          <w:szCs w:val="32"/>
          <w:lang w:eastAsia="zh-CN"/>
        </w:rPr>
        <w:t>完善</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2、规章制度及管理不够规范和完善。</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楷体" w:cs="楷体"/>
          <w:b/>
          <w:bCs/>
          <w:sz w:val="32"/>
          <w:szCs w:val="32"/>
        </w:rPr>
      </w:pPr>
      <w:r>
        <w:rPr>
          <w:rFonts w:hint="eastAsia" w:ascii="Times New Roman" w:hAnsi="Times New Roman" w:eastAsia="楷体" w:cs="楷体"/>
          <w:b/>
          <w:bCs/>
          <w:sz w:val="32"/>
          <w:szCs w:val="32"/>
          <w:lang w:eastAsia="zh-CN"/>
        </w:rPr>
        <w:t>（二）</w:t>
      </w:r>
      <w:r>
        <w:rPr>
          <w:rFonts w:hint="eastAsia" w:ascii="Times New Roman" w:hAnsi="Times New Roman" w:eastAsia="楷体" w:cs="楷体"/>
          <w:b/>
          <w:bCs/>
          <w:sz w:val="32"/>
          <w:szCs w:val="32"/>
        </w:rPr>
        <w:t>原因分析</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1、规章制度和管理制度不够细致。</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rPr>
        <w:t>2、缺乏专业人才。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七</w:t>
      </w:r>
      <w:r>
        <w:rPr>
          <w:rFonts w:hint="eastAsia" w:ascii="Times New Roman" w:hAnsi="Times New Roman" w:eastAsia="黑体"/>
          <w:sz w:val="32"/>
          <w:szCs w:val="32"/>
        </w:rPr>
        <w:t>、有关建议</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进一步加大对养老服务中心的资金投入力度，补齐</w:t>
      </w:r>
      <w:r>
        <w:rPr>
          <w:rFonts w:hint="eastAsia" w:ascii="Times New Roman" w:hAnsi="Times New Roman" w:eastAsia="仿宋_GB2312" w:cs="Times New Roman"/>
          <w:color w:val="000000" w:themeColor="text1"/>
          <w:spacing w:val="0"/>
          <w:sz w:val="32"/>
          <w:szCs w:val="32"/>
          <w14:textFill>
            <w14:solidFill>
              <w14:schemeClr w14:val="tx1"/>
            </w14:solidFill>
          </w14:textFill>
        </w:rPr>
        <w:t>农村养老服务设施</w:t>
      </w:r>
      <w:r>
        <w:rPr>
          <w:rFonts w:ascii="Times New Roman" w:hAnsi="Times New Roman" w:eastAsia="仿宋_GB2312" w:cs="Times New Roman"/>
          <w:color w:val="000000" w:themeColor="text1"/>
          <w:spacing w:val="0"/>
          <w:sz w:val="32"/>
          <w:szCs w:val="32"/>
          <w14:textFill>
            <w14:solidFill>
              <w14:schemeClr w14:val="tx1"/>
            </w14:solidFill>
          </w14:textFill>
        </w:rPr>
        <w:t>短板</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实现</w:t>
      </w:r>
      <w:r>
        <w:rPr>
          <w:rFonts w:hint="eastAsia" w:ascii="Times New Roman" w:hAnsi="Times New Roman" w:eastAsia="仿宋_GB2312" w:cs="Times New Roman"/>
          <w:color w:val="000000" w:themeColor="text1"/>
          <w:spacing w:val="0"/>
          <w:sz w:val="32"/>
          <w:szCs w:val="32"/>
          <w14:textFill>
            <w14:solidFill>
              <w14:schemeClr w14:val="tx1"/>
            </w14:solidFill>
          </w14:textFill>
        </w:rPr>
        <w:t>全市所有村级养老服务站点全覆盖。</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0"/>
        <w:rPr>
          <w:rFonts w:ascii="Times New Roman" w:hAnsi="Times New Roman" w:eastAsia="仿宋_GB2312" w:cs="仿宋_GB2312"/>
          <w:b/>
          <w:bCs/>
          <w:sz w:val="32"/>
          <w:szCs w:val="32"/>
        </w:rPr>
      </w:pPr>
      <w:r>
        <w:rPr>
          <w:rFonts w:hint="eastAsia" w:ascii="Times New Roman" w:hAnsi="Times New Roman" w:eastAsia="仿宋_GB2312" w:cs="仿宋_GB2312"/>
          <w:sz w:val="32"/>
          <w:szCs w:val="32"/>
        </w:rPr>
        <w:t>2、加大</w:t>
      </w:r>
      <w:r>
        <w:rPr>
          <w:rFonts w:hint="eastAsia" w:ascii="Times New Roman" w:hAnsi="Times New Roman" w:eastAsia="仿宋_GB2312" w:cs="仿宋_GB2312"/>
          <w:sz w:val="32"/>
          <w:szCs w:val="32"/>
          <w:lang w:eastAsia="zh-CN"/>
        </w:rPr>
        <w:t>养老服务</w:t>
      </w:r>
      <w:r>
        <w:rPr>
          <w:rFonts w:hint="eastAsia" w:ascii="Times New Roman" w:hAnsi="Times New Roman" w:eastAsia="仿宋_GB2312" w:cs="仿宋_GB2312"/>
          <w:sz w:val="32"/>
          <w:szCs w:val="32"/>
        </w:rPr>
        <w:t>专业人才的引进,切实改善</w:t>
      </w:r>
      <w:r>
        <w:rPr>
          <w:rFonts w:hint="eastAsia" w:ascii="Times New Roman" w:hAnsi="Times New Roman" w:eastAsia="仿宋_GB2312" w:cs="仿宋_GB2312"/>
          <w:sz w:val="32"/>
          <w:szCs w:val="32"/>
          <w:lang w:eastAsia="zh-CN"/>
        </w:rPr>
        <w:t>养老服务</w:t>
      </w:r>
      <w:r>
        <w:rPr>
          <w:rFonts w:hint="eastAsia" w:ascii="Times New Roman" w:hAnsi="Times New Roman" w:eastAsia="仿宋_GB2312" w:cs="仿宋_GB2312"/>
          <w:sz w:val="32"/>
          <w:szCs w:val="32"/>
        </w:rPr>
        <w:t>机构从业人员的工作条件和工资福利待遇，提高管理、服务水平。</w:t>
      </w:r>
    </w:p>
    <w:p>
      <w:pPr>
        <w:pStyle w:val="4"/>
        <w:spacing w:before="1"/>
        <w:ind w:left="751"/>
        <w:rPr>
          <w:w w:val="95"/>
        </w:rPr>
      </w:pPr>
      <w:r>
        <w:rPr>
          <w:rFonts w:hint="eastAsia" w:ascii="Times New Roman" w:hAnsi="Times New Roman" w:eastAsia="黑体" w:cs="Times New Roman"/>
          <w:sz w:val="30"/>
          <w:szCs w:val="24"/>
          <w:lang w:eastAsia="zh-CN"/>
        </w:rPr>
        <w:t>八、</w:t>
      </w:r>
      <w:r>
        <w:rPr>
          <w:rFonts w:hint="eastAsia" w:ascii="Times New Roman" w:hAnsi="Times New Roman" w:eastAsia="黑体" w:cs="Times New Roman"/>
          <w:sz w:val="30"/>
          <w:szCs w:val="24"/>
        </w:rPr>
        <w:t>其他需要说明的问题</w:t>
      </w:r>
    </w:p>
    <w:p>
      <w:pPr>
        <w:pStyle w:val="4"/>
        <w:spacing w:before="1"/>
        <w:ind w:left="751"/>
        <w:rPr>
          <w:w w:val="95"/>
        </w:rPr>
      </w:pPr>
    </w:p>
    <w:p>
      <w:pPr>
        <w:pStyle w:val="4"/>
        <w:spacing w:before="1"/>
        <w:ind w:firstLine="608" w:firstLineChars="200"/>
      </w:pPr>
      <w:r>
        <w:rPr>
          <w:w w:val="95"/>
        </w:rPr>
        <w:t>附：</w:t>
      </w:r>
      <w:r>
        <w:rPr>
          <w:rFonts w:hint="eastAsia"/>
          <w:w w:val="95"/>
          <w:lang w:val="en-US" w:eastAsia="zh-CN"/>
        </w:rPr>
        <w:t xml:space="preserve"> </w:t>
      </w:r>
      <w:r>
        <w:rPr>
          <w:rFonts w:hint="eastAsia"/>
          <w:w w:val="95"/>
          <w:lang w:val="en-US"/>
        </w:rPr>
        <w:t>1</w:t>
      </w:r>
      <w:r>
        <w:rPr>
          <w:rFonts w:hint="eastAsia"/>
          <w:w w:val="95"/>
          <w:lang w:val="en-US" w:eastAsia="zh-CN"/>
        </w:rPr>
        <w:t>.</w:t>
      </w:r>
      <w:r>
        <w:rPr>
          <w:rFonts w:hint="eastAsia"/>
        </w:rPr>
        <w:t>养老服务中心运营补贴</w:t>
      </w:r>
      <w:r>
        <w:t>项目绩效目标完成清单（</w:t>
      </w:r>
      <w:r>
        <w:rPr>
          <w:spacing w:val="-23"/>
        </w:rPr>
        <w:t xml:space="preserve">见附表 </w:t>
      </w:r>
      <w:r>
        <w:rPr>
          <w:rFonts w:hint="eastAsia"/>
          <w:spacing w:val="-23"/>
          <w:lang w:val="en-US" w:eastAsia="zh-CN"/>
        </w:rPr>
        <w:t>4</w:t>
      </w:r>
      <w:r>
        <w:rPr>
          <w:rFonts w:hint="eastAsia"/>
          <w:spacing w:val="-23"/>
          <w:lang w:val="en-US"/>
        </w:rPr>
        <w:t>-</w:t>
      </w:r>
      <w:r>
        <w:t>1）</w:t>
      </w:r>
    </w:p>
    <w:p>
      <w:pPr>
        <w:pStyle w:val="9"/>
        <w:numPr>
          <w:ilvl w:val="0"/>
          <w:numId w:val="0"/>
        </w:numPr>
        <w:tabs>
          <w:tab w:val="left" w:pos="1715"/>
        </w:tabs>
        <w:spacing w:before="149"/>
        <w:rPr>
          <w:sz w:val="32"/>
        </w:rPr>
      </w:pPr>
      <w:r>
        <w:rPr>
          <w:rFonts w:hint="eastAsia"/>
          <w:sz w:val="32"/>
          <w:lang w:val="en-US" w:eastAsia="zh-CN"/>
        </w:rPr>
        <w:t>2.</w:t>
      </w:r>
      <w:r>
        <w:rPr>
          <w:rFonts w:hint="eastAsia"/>
          <w:sz w:val="32"/>
        </w:rPr>
        <w:t>养老服务中心运营补贴</w:t>
      </w:r>
      <w:r>
        <w:rPr>
          <w:sz w:val="32"/>
        </w:rPr>
        <w:t>项目绩效评价问题清单（</w:t>
      </w:r>
      <w:r>
        <w:rPr>
          <w:spacing w:val="-23"/>
          <w:sz w:val="32"/>
        </w:rPr>
        <w:t>见附表</w:t>
      </w:r>
      <w:r>
        <w:rPr>
          <w:rFonts w:hint="eastAsia"/>
          <w:spacing w:val="-23"/>
          <w:sz w:val="32"/>
          <w:lang w:val="en-US" w:eastAsia="zh-CN"/>
        </w:rPr>
        <w:t>4</w:t>
      </w:r>
      <w:r>
        <w:rPr>
          <w:rFonts w:hint="eastAsia"/>
          <w:spacing w:val="-23"/>
          <w:sz w:val="32"/>
          <w:lang w:val="en-US"/>
        </w:rPr>
        <w:t>-</w:t>
      </w:r>
      <w:r>
        <w:rPr>
          <w:spacing w:val="-23"/>
          <w:sz w:val="32"/>
        </w:rPr>
        <w:t xml:space="preserve"> </w:t>
      </w:r>
      <w:r>
        <w:rPr>
          <w:sz w:val="32"/>
        </w:rPr>
        <w:t>2）</w:t>
      </w:r>
    </w:p>
    <w:p>
      <w:pPr>
        <w:pStyle w:val="9"/>
        <w:numPr>
          <w:ilvl w:val="0"/>
          <w:numId w:val="0"/>
        </w:numPr>
        <w:tabs>
          <w:tab w:val="left" w:pos="1715"/>
        </w:tabs>
        <w:spacing w:before="149"/>
        <w:rPr>
          <w:sz w:val="32"/>
        </w:rPr>
      </w:pPr>
      <w:r>
        <w:rPr>
          <w:rFonts w:hint="eastAsia"/>
          <w:sz w:val="32"/>
          <w:lang w:val="en-US" w:eastAsia="zh-CN"/>
        </w:rPr>
        <w:t>3.</w:t>
      </w:r>
      <w:r>
        <w:rPr>
          <w:rFonts w:hint="eastAsia"/>
          <w:sz w:val="32"/>
        </w:rPr>
        <w:t>养老服务中心运营补贴</w:t>
      </w:r>
      <w:r>
        <w:rPr>
          <w:sz w:val="32"/>
        </w:rPr>
        <w:t>项目绩效评价评分情况表（</w:t>
      </w:r>
      <w:r>
        <w:rPr>
          <w:spacing w:val="-22"/>
          <w:sz w:val="32"/>
        </w:rPr>
        <w:t>见附表</w:t>
      </w:r>
      <w:r>
        <w:rPr>
          <w:rFonts w:hint="eastAsia"/>
          <w:spacing w:val="-22"/>
          <w:sz w:val="32"/>
          <w:lang w:val="en-US" w:eastAsia="zh-CN"/>
        </w:rPr>
        <w:t>4</w:t>
      </w:r>
      <w:r>
        <w:rPr>
          <w:rFonts w:hint="eastAsia"/>
          <w:spacing w:val="-22"/>
          <w:sz w:val="32"/>
          <w:lang w:val="en-US"/>
        </w:rPr>
        <w:t>-</w:t>
      </w:r>
      <w:r>
        <w:rPr>
          <w:spacing w:val="-22"/>
          <w:sz w:val="32"/>
        </w:rPr>
        <w:t xml:space="preserve"> </w:t>
      </w:r>
      <w:r>
        <w:rPr>
          <w:sz w:val="32"/>
        </w:rPr>
        <w:t>3）</w:t>
      </w:r>
    </w:p>
    <w:p>
      <w:pPr>
        <w:jc w:val="left"/>
        <w:rPr>
          <w:sz w:val="32"/>
        </w:rPr>
        <w:sectPr>
          <w:pgSz w:w="11911" w:h="16838"/>
          <w:pgMar w:top="1582" w:right="1417" w:bottom="1582" w:left="1480" w:header="0" w:footer="1383" w:gutter="0"/>
          <w:cols w:space="0" w:num="1"/>
          <w:formProt w:val="1"/>
        </w:sectPr>
      </w:pPr>
    </w:p>
    <w:p>
      <w:pPr>
        <w:spacing w:before="40"/>
        <w:jc w:val="left"/>
        <w:rPr>
          <w:rFonts w:ascii="Times New Roman" w:hAnsi="Times New Roman" w:eastAsia="仿宋_GB2312" w:cs="Times New Roman"/>
          <w:sz w:val="4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-1</w:t>
      </w:r>
    </w:p>
    <w:p>
      <w:pPr>
        <w:pStyle w:val="3"/>
        <w:spacing w:line="240" w:lineRule="auto"/>
        <w:jc w:val="center"/>
        <w:rPr>
          <w:rFonts w:ascii="黑体" w:hAnsi="黑体" w:cs="黑体"/>
        </w:rPr>
        <w:sectPr>
          <w:footerReference r:id="rId3" w:type="default"/>
          <w:pgSz w:w="16838" w:h="11911" w:orient="landscape"/>
          <w:pgMar w:top="1480" w:right="1582" w:bottom="1417" w:left="1582" w:header="0" w:footer="1383" w:gutter="0"/>
          <w:pgNumType w:start="29"/>
          <w:cols w:space="0" w:num="1"/>
          <w:formProt w:val="1"/>
        </w:sectPr>
      </w:pPr>
      <w:r>
        <w:rPr>
          <w:rFonts w:hint="eastAsia" w:ascii="黑体" w:hAnsi="黑体" w:cs="黑体"/>
        </w:rPr>
        <w:t>养老服务中心运营补贴项目绩效目标完成清单</w:t>
      </w:r>
    </w:p>
    <w:p>
      <w:pPr>
        <w:pStyle w:val="4"/>
        <w:spacing w:before="5"/>
        <w:rPr>
          <w:rFonts w:ascii="宋体"/>
          <w:b/>
          <w:sz w:val="15"/>
        </w:rPr>
      </w:pPr>
    </w:p>
    <w:tbl>
      <w:tblPr>
        <w:tblStyle w:val="7"/>
        <w:tblW w:w="13485" w:type="dxa"/>
        <w:tblInd w:w="1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8"/>
        <w:gridCol w:w="5262"/>
        <w:gridCol w:w="5625"/>
        <w:gridCol w:w="15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81" w:hRule="atLeast"/>
        </w:trPr>
        <w:tc>
          <w:tcPr>
            <w:tcW w:w="1008" w:type="dxa"/>
          </w:tcPr>
          <w:p>
            <w:pPr>
              <w:pStyle w:val="10"/>
              <w:spacing w:before="6"/>
              <w:rPr>
                <w:b/>
                <w:sz w:val="20"/>
              </w:rPr>
            </w:pPr>
          </w:p>
          <w:p>
            <w:pPr>
              <w:pStyle w:val="10"/>
              <w:ind w:left="218" w:right="184"/>
              <w:jc w:val="center"/>
              <w:rPr>
                <w:b/>
                <w:sz w:val="22"/>
              </w:rPr>
            </w:pPr>
            <w:r>
              <w:rPr>
                <w:b/>
                <w:sz w:val="22"/>
              </w:rPr>
              <w:t>序号</w:t>
            </w:r>
          </w:p>
        </w:tc>
        <w:tc>
          <w:tcPr>
            <w:tcW w:w="5262" w:type="dxa"/>
          </w:tcPr>
          <w:p>
            <w:pPr>
              <w:pStyle w:val="10"/>
              <w:spacing w:before="6"/>
              <w:rPr>
                <w:b/>
                <w:sz w:val="20"/>
              </w:rPr>
            </w:pPr>
          </w:p>
          <w:p>
            <w:pPr>
              <w:pStyle w:val="10"/>
              <w:ind w:left="2131" w:right="2099"/>
              <w:jc w:val="center"/>
              <w:rPr>
                <w:b/>
                <w:sz w:val="22"/>
              </w:rPr>
            </w:pPr>
            <w:r>
              <w:rPr>
                <w:b/>
                <w:sz w:val="22"/>
              </w:rPr>
              <w:t>绩效目标设定情况</w:t>
            </w:r>
          </w:p>
        </w:tc>
        <w:tc>
          <w:tcPr>
            <w:tcW w:w="5625" w:type="dxa"/>
          </w:tcPr>
          <w:p>
            <w:pPr>
              <w:pStyle w:val="10"/>
              <w:spacing w:before="6"/>
              <w:rPr>
                <w:b/>
                <w:sz w:val="20"/>
              </w:rPr>
            </w:pPr>
          </w:p>
          <w:p>
            <w:pPr>
              <w:pStyle w:val="10"/>
              <w:ind w:left="2208" w:right="2176"/>
              <w:jc w:val="center"/>
              <w:rPr>
                <w:b/>
                <w:sz w:val="22"/>
              </w:rPr>
            </w:pPr>
            <w:r>
              <w:rPr>
                <w:b/>
                <w:sz w:val="22"/>
              </w:rPr>
              <w:t>绩效目标完成情况</w:t>
            </w:r>
          </w:p>
        </w:tc>
        <w:tc>
          <w:tcPr>
            <w:tcW w:w="1590" w:type="dxa"/>
          </w:tcPr>
          <w:p>
            <w:pPr>
              <w:pStyle w:val="10"/>
              <w:spacing w:before="6"/>
              <w:rPr>
                <w:b/>
                <w:sz w:val="20"/>
              </w:rPr>
            </w:pPr>
          </w:p>
          <w:p>
            <w:pPr>
              <w:pStyle w:val="10"/>
              <w:ind w:left="406"/>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9" w:hRule="atLeast"/>
        </w:trPr>
        <w:tc>
          <w:tcPr>
            <w:tcW w:w="1008" w:type="dxa"/>
          </w:tcPr>
          <w:p>
            <w:pPr>
              <w:pStyle w:val="10"/>
              <w:rPr>
                <w:b/>
                <w:sz w:val="18"/>
              </w:rPr>
            </w:pPr>
          </w:p>
          <w:p>
            <w:pPr>
              <w:pStyle w:val="10"/>
              <w:spacing w:before="1"/>
              <w:rPr>
                <w:b/>
                <w:sz w:val="20"/>
              </w:rPr>
            </w:pPr>
          </w:p>
          <w:p>
            <w:pPr>
              <w:pStyle w:val="10"/>
              <w:ind w:left="220" w:right="184"/>
              <w:jc w:val="center"/>
              <w:rPr>
                <w:b/>
                <w:sz w:val="18"/>
              </w:rPr>
            </w:pPr>
            <w:r>
              <w:rPr>
                <w:b/>
                <w:sz w:val="18"/>
              </w:rPr>
              <w:t>（一）</w:t>
            </w:r>
          </w:p>
        </w:tc>
        <w:tc>
          <w:tcPr>
            <w:tcW w:w="5262" w:type="dxa"/>
          </w:tcPr>
          <w:p>
            <w:pPr>
              <w:pStyle w:val="10"/>
              <w:rPr>
                <w:b/>
                <w:sz w:val="18"/>
              </w:rPr>
            </w:pPr>
          </w:p>
          <w:p>
            <w:pPr>
              <w:pStyle w:val="10"/>
              <w:spacing w:before="1"/>
              <w:rPr>
                <w:b/>
                <w:sz w:val="20"/>
              </w:rPr>
            </w:pPr>
          </w:p>
          <w:p>
            <w:pPr>
              <w:pStyle w:val="10"/>
              <w:ind w:left="37"/>
              <w:rPr>
                <w:sz w:val="18"/>
              </w:rPr>
            </w:pPr>
            <w:r>
              <w:rPr>
                <w:b/>
                <w:sz w:val="18"/>
              </w:rPr>
              <w:t>总体目标任务：</w:t>
            </w:r>
          </w:p>
        </w:tc>
        <w:tc>
          <w:tcPr>
            <w:tcW w:w="5625" w:type="dxa"/>
          </w:tcPr>
          <w:p>
            <w:pPr>
              <w:pStyle w:val="10"/>
              <w:rPr>
                <w:b/>
                <w:sz w:val="18"/>
              </w:rPr>
            </w:pPr>
          </w:p>
          <w:p>
            <w:pPr>
              <w:pStyle w:val="10"/>
              <w:spacing w:before="1"/>
              <w:rPr>
                <w:b/>
                <w:sz w:val="20"/>
              </w:rPr>
            </w:pPr>
          </w:p>
          <w:p>
            <w:pPr>
              <w:pStyle w:val="10"/>
              <w:ind w:left="39"/>
              <w:rPr>
                <w:b/>
                <w:sz w:val="18"/>
              </w:rPr>
            </w:pPr>
            <w:r>
              <w:rPr>
                <w:b/>
                <w:sz w:val="18"/>
              </w:rPr>
              <w:t>总体目标完成情况：</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1</w:t>
            </w:r>
          </w:p>
        </w:tc>
        <w:tc>
          <w:tcPr>
            <w:tcW w:w="5262" w:type="dxa"/>
          </w:tcPr>
          <w:p>
            <w:pPr>
              <w:pStyle w:val="10"/>
              <w:spacing w:before="8"/>
              <w:rPr>
                <w:b/>
                <w:sz w:val="14"/>
              </w:rPr>
            </w:pPr>
          </w:p>
          <w:p>
            <w:pPr>
              <w:pStyle w:val="10"/>
              <w:ind w:left="37"/>
              <w:rPr>
                <w:sz w:val="18"/>
              </w:rPr>
            </w:pPr>
            <w:r>
              <w:rPr>
                <w:rFonts w:hint="eastAsia" w:cs="宋体"/>
                <w:kern w:val="0"/>
                <w:sz w:val="18"/>
                <w:szCs w:val="18"/>
                <w:lang w:val="en-US" w:eastAsia="zh-CN"/>
              </w:rPr>
              <w:t>运营</w:t>
            </w:r>
            <w:r>
              <w:rPr>
                <w:rFonts w:hint="eastAsia" w:ascii="宋体" w:hAnsi="宋体" w:eastAsia="宋体" w:cs="宋体"/>
                <w:kern w:val="0"/>
                <w:sz w:val="18"/>
                <w:szCs w:val="18"/>
                <w:lang w:val="en-US" w:eastAsia="zh-CN"/>
              </w:rPr>
              <w:t>全市</w:t>
            </w:r>
            <w:r>
              <w:rPr>
                <w:rFonts w:hint="eastAsia" w:cs="宋体"/>
                <w:kern w:val="0"/>
                <w:sz w:val="18"/>
                <w:szCs w:val="18"/>
                <w:lang w:val="en-US" w:eastAsia="zh-CN"/>
              </w:rPr>
              <w:t>已</w:t>
            </w:r>
            <w:r>
              <w:rPr>
                <w:rFonts w:hint="eastAsia" w:ascii="宋体" w:hAnsi="宋体" w:eastAsia="宋体" w:cs="宋体"/>
                <w:kern w:val="0"/>
                <w:sz w:val="18"/>
                <w:szCs w:val="18"/>
                <w:lang w:val="en-US" w:eastAsia="zh-CN"/>
              </w:rPr>
              <w:t>建成</w:t>
            </w:r>
            <w:r>
              <w:rPr>
                <w:rFonts w:hint="eastAsia" w:cs="宋体"/>
                <w:kern w:val="0"/>
                <w:sz w:val="18"/>
                <w:szCs w:val="18"/>
                <w:lang w:val="en-US" w:eastAsia="zh-CN"/>
              </w:rPr>
              <w:t>的</w:t>
            </w:r>
            <w:r>
              <w:rPr>
                <w:rFonts w:hint="eastAsia" w:ascii="宋体" w:hAnsi="宋体" w:eastAsia="宋体" w:cs="宋体"/>
                <w:kern w:val="0"/>
                <w:sz w:val="18"/>
                <w:szCs w:val="18"/>
                <w:lang w:val="en-US" w:eastAsia="zh-CN"/>
              </w:rPr>
              <w:t>186个三级养老服务中心，分别是县（区）级养老服务指导中心4个，街道养老服务中心15个，镇养老服务中心15个，社区养老服务中心152个，形成了全覆盖的社区居家养老服务供给体系。</w:t>
            </w:r>
          </w:p>
        </w:tc>
        <w:tc>
          <w:tcPr>
            <w:tcW w:w="5625" w:type="dxa"/>
          </w:tcPr>
          <w:p>
            <w:pPr>
              <w:pStyle w:val="10"/>
              <w:spacing w:before="8"/>
              <w:rPr>
                <w:b/>
                <w:sz w:val="14"/>
              </w:rPr>
            </w:pPr>
          </w:p>
          <w:p>
            <w:pPr>
              <w:pStyle w:val="10"/>
              <w:ind w:left="39"/>
              <w:rPr>
                <w:sz w:val="18"/>
              </w:rPr>
            </w:pPr>
            <w:r>
              <w:rPr>
                <w:rFonts w:hint="eastAsia" w:cs="宋体"/>
                <w:kern w:val="0"/>
                <w:sz w:val="18"/>
                <w:szCs w:val="18"/>
                <w:lang w:val="en-US" w:eastAsia="zh-CN"/>
              </w:rPr>
              <w:t>运营</w:t>
            </w:r>
            <w:r>
              <w:rPr>
                <w:rFonts w:hint="eastAsia" w:ascii="宋体" w:hAnsi="宋体" w:eastAsia="宋体" w:cs="宋体"/>
                <w:kern w:val="0"/>
                <w:sz w:val="18"/>
                <w:szCs w:val="18"/>
                <w:lang w:val="en-US" w:eastAsia="zh-CN"/>
              </w:rPr>
              <w:t>全市</w:t>
            </w:r>
            <w:r>
              <w:rPr>
                <w:rFonts w:hint="eastAsia" w:cs="宋体"/>
                <w:kern w:val="0"/>
                <w:sz w:val="18"/>
                <w:szCs w:val="18"/>
                <w:lang w:val="en-US" w:eastAsia="zh-CN"/>
              </w:rPr>
              <w:t>已</w:t>
            </w:r>
            <w:r>
              <w:rPr>
                <w:rFonts w:hint="eastAsia" w:ascii="宋体" w:hAnsi="宋体" w:eastAsia="宋体" w:cs="宋体"/>
                <w:kern w:val="0"/>
                <w:sz w:val="18"/>
                <w:szCs w:val="18"/>
                <w:lang w:val="en-US" w:eastAsia="zh-CN"/>
              </w:rPr>
              <w:t>建成</w:t>
            </w:r>
            <w:r>
              <w:rPr>
                <w:rFonts w:hint="eastAsia" w:cs="宋体"/>
                <w:kern w:val="0"/>
                <w:sz w:val="18"/>
                <w:szCs w:val="18"/>
                <w:lang w:val="en-US" w:eastAsia="zh-CN"/>
              </w:rPr>
              <w:t>的</w:t>
            </w:r>
            <w:r>
              <w:rPr>
                <w:rFonts w:hint="eastAsia" w:ascii="宋体" w:hAnsi="宋体" w:eastAsia="宋体" w:cs="宋体"/>
                <w:kern w:val="0"/>
                <w:sz w:val="18"/>
                <w:szCs w:val="18"/>
                <w:lang w:val="en-US" w:eastAsia="zh-CN"/>
              </w:rPr>
              <w:t>186个三级养老服务中心，分别是县（区）级养老服务指导中心4个，街道养老服务中心15个，镇养老服务中心15个，社区养老服务中心152个，形成了全覆盖的社区居家养老服务供给体系。</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69" w:hRule="atLeast"/>
        </w:trPr>
        <w:tc>
          <w:tcPr>
            <w:tcW w:w="1008" w:type="dxa"/>
          </w:tcPr>
          <w:p>
            <w:pPr>
              <w:pStyle w:val="10"/>
              <w:rPr>
                <w:b/>
                <w:sz w:val="18"/>
              </w:rPr>
            </w:pPr>
          </w:p>
          <w:p>
            <w:pPr>
              <w:pStyle w:val="10"/>
              <w:rPr>
                <w:b/>
                <w:sz w:val="20"/>
              </w:rPr>
            </w:pPr>
          </w:p>
          <w:p>
            <w:pPr>
              <w:pStyle w:val="10"/>
              <w:spacing w:before="1"/>
              <w:ind w:left="220" w:right="184"/>
              <w:jc w:val="center"/>
              <w:rPr>
                <w:b/>
                <w:sz w:val="18"/>
              </w:rPr>
            </w:pPr>
            <w:r>
              <w:rPr>
                <w:b/>
                <w:sz w:val="18"/>
              </w:rPr>
              <w:t>（二）</w:t>
            </w:r>
          </w:p>
        </w:tc>
        <w:tc>
          <w:tcPr>
            <w:tcW w:w="5262" w:type="dxa"/>
          </w:tcPr>
          <w:p>
            <w:pPr>
              <w:pStyle w:val="10"/>
              <w:rPr>
                <w:b/>
                <w:sz w:val="18"/>
              </w:rPr>
            </w:pPr>
          </w:p>
          <w:p>
            <w:pPr>
              <w:pStyle w:val="10"/>
              <w:rPr>
                <w:b/>
                <w:sz w:val="20"/>
              </w:rPr>
            </w:pPr>
          </w:p>
          <w:p>
            <w:pPr>
              <w:pStyle w:val="10"/>
              <w:spacing w:before="1"/>
              <w:ind w:left="37"/>
              <w:rPr>
                <w:sz w:val="18"/>
              </w:rPr>
            </w:pPr>
            <w:r>
              <w:rPr>
                <w:b/>
                <w:sz w:val="18"/>
              </w:rPr>
              <w:t>年度绩效目标：</w:t>
            </w:r>
          </w:p>
        </w:tc>
        <w:tc>
          <w:tcPr>
            <w:tcW w:w="5625" w:type="dxa"/>
          </w:tcPr>
          <w:p>
            <w:pPr>
              <w:pStyle w:val="10"/>
              <w:rPr>
                <w:b/>
                <w:sz w:val="18"/>
              </w:rPr>
            </w:pPr>
          </w:p>
          <w:p>
            <w:pPr>
              <w:pStyle w:val="10"/>
              <w:rPr>
                <w:b/>
                <w:sz w:val="20"/>
              </w:rPr>
            </w:pPr>
          </w:p>
          <w:p>
            <w:pPr>
              <w:pStyle w:val="10"/>
              <w:spacing w:before="1"/>
              <w:ind w:left="39"/>
              <w:rPr>
                <w:b/>
                <w:sz w:val="18"/>
              </w:rPr>
            </w:pPr>
            <w:r>
              <w:rPr>
                <w:b/>
                <w:sz w:val="18"/>
              </w:rPr>
              <w:t>年度绩效目标完成情况：</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1</w:t>
            </w:r>
          </w:p>
        </w:tc>
        <w:tc>
          <w:tcPr>
            <w:tcW w:w="5262" w:type="dxa"/>
          </w:tcPr>
          <w:p>
            <w:pPr>
              <w:pStyle w:val="10"/>
              <w:ind w:left="37"/>
              <w:rPr>
                <w:rFonts w:hint="default" w:eastAsia="宋体"/>
                <w:sz w:val="18"/>
                <w:lang w:val="en-US" w:eastAsia="zh-CN"/>
              </w:rPr>
            </w:pPr>
            <w:r>
              <w:rPr>
                <w:rFonts w:hint="eastAsia"/>
                <w:sz w:val="18"/>
                <w:lang w:eastAsia="zh-CN"/>
              </w:rPr>
              <w:t>完成规定的养老服务三级中心数量，覆盖率</w:t>
            </w:r>
            <w:r>
              <w:rPr>
                <w:rFonts w:hint="eastAsia"/>
                <w:sz w:val="18"/>
                <w:lang w:val="en-US" w:eastAsia="zh-CN"/>
              </w:rPr>
              <w:t>100%，按时完成建设。</w:t>
            </w:r>
          </w:p>
        </w:tc>
        <w:tc>
          <w:tcPr>
            <w:tcW w:w="5625" w:type="dxa"/>
          </w:tcPr>
          <w:p>
            <w:pPr>
              <w:pStyle w:val="10"/>
              <w:ind w:left="39"/>
              <w:rPr>
                <w:rFonts w:hint="default" w:eastAsia="宋体"/>
                <w:sz w:val="18"/>
                <w:lang w:val="en-US" w:eastAsia="zh-CN"/>
              </w:rPr>
            </w:pPr>
            <w:r>
              <w:rPr>
                <w:rFonts w:hint="eastAsia"/>
                <w:b w:val="0"/>
                <w:bCs/>
                <w:sz w:val="18"/>
                <w:szCs w:val="18"/>
                <w:lang w:eastAsia="zh-CN"/>
              </w:rPr>
              <w:t>已完成规定的养老服务三级中心数量，覆盖率达</w:t>
            </w:r>
            <w:r>
              <w:rPr>
                <w:rFonts w:hint="eastAsia"/>
                <w:b w:val="0"/>
                <w:bCs/>
                <w:sz w:val="18"/>
                <w:szCs w:val="18"/>
                <w:lang w:val="en-US" w:eastAsia="zh-CN"/>
              </w:rPr>
              <w:t>100%。</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ind w:left="31"/>
              <w:jc w:val="center"/>
              <w:rPr>
                <w:b/>
                <w:sz w:val="18"/>
              </w:rPr>
            </w:pPr>
            <w:r>
              <w:rPr>
                <w:b/>
                <w:w w:val="99"/>
                <w:sz w:val="18"/>
              </w:rPr>
              <w:t>2</w:t>
            </w:r>
          </w:p>
        </w:tc>
        <w:tc>
          <w:tcPr>
            <w:tcW w:w="5262" w:type="dxa"/>
          </w:tcPr>
          <w:p>
            <w:pPr>
              <w:pStyle w:val="10"/>
              <w:rPr>
                <w:rFonts w:hint="eastAsia" w:ascii="Times New Roman" w:eastAsia="宋体"/>
                <w:sz w:val="18"/>
                <w:lang w:eastAsia="zh-CN"/>
              </w:rPr>
            </w:pPr>
            <w:r>
              <w:rPr>
                <w:rFonts w:hint="eastAsia" w:ascii="Times New Roman"/>
                <w:sz w:val="18"/>
                <w:lang w:eastAsia="zh-CN"/>
              </w:rPr>
              <w:t>形成全覆盖的社会居家养老服务供给体系，提升我市老年人居家养老服务能力，得到社会认可和积极参与。</w:t>
            </w:r>
          </w:p>
        </w:tc>
        <w:tc>
          <w:tcPr>
            <w:tcW w:w="5625" w:type="dxa"/>
          </w:tcPr>
          <w:p>
            <w:pPr>
              <w:pStyle w:val="10"/>
              <w:rPr>
                <w:rFonts w:hint="eastAsia" w:ascii="Times New Roman" w:eastAsia="宋体"/>
                <w:sz w:val="18"/>
                <w:lang w:eastAsia="zh-CN"/>
              </w:rPr>
            </w:pPr>
            <w:r>
              <w:rPr>
                <w:rFonts w:hint="eastAsia" w:ascii="Times New Roman"/>
                <w:sz w:val="18"/>
                <w:lang w:eastAsia="zh-CN"/>
              </w:rPr>
              <w:t>形成了全覆盖的社会居家养老服务供给体系，提升了我市老年人居家养老服务能力，得到了社会认可和积极参与。</w:t>
            </w:r>
          </w:p>
        </w:tc>
        <w:tc>
          <w:tcPr>
            <w:tcW w:w="1590" w:type="dxa"/>
          </w:tcPr>
          <w:p>
            <w:pPr>
              <w:pStyle w:val="10"/>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82" w:hRule="atLeast"/>
        </w:trPr>
        <w:tc>
          <w:tcPr>
            <w:tcW w:w="1008" w:type="dxa"/>
          </w:tcPr>
          <w:p>
            <w:pPr>
              <w:pStyle w:val="10"/>
              <w:spacing w:before="8"/>
              <w:rPr>
                <w:b/>
                <w:sz w:val="14"/>
              </w:rPr>
            </w:pPr>
          </w:p>
          <w:p>
            <w:pPr>
              <w:pStyle w:val="10"/>
              <w:spacing w:before="1"/>
              <w:ind w:left="31"/>
              <w:jc w:val="center"/>
              <w:rPr>
                <w:b/>
                <w:sz w:val="18"/>
              </w:rPr>
            </w:pPr>
            <w:r>
              <w:rPr>
                <w:b/>
                <w:w w:val="99"/>
                <w:sz w:val="18"/>
              </w:rPr>
              <w:t>3</w:t>
            </w:r>
          </w:p>
        </w:tc>
        <w:tc>
          <w:tcPr>
            <w:tcW w:w="5262" w:type="dxa"/>
          </w:tcPr>
          <w:p>
            <w:pPr>
              <w:pStyle w:val="10"/>
              <w:rPr>
                <w:rFonts w:hint="eastAsia" w:ascii="Times New Roman" w:eastAsia="宋体"/>
                <w:sz w:val="18"/>
                <w:lang w:eastAsia="zh-CN"/>
              </w:rPr>
            </w:pPr>
            <w:r>
              <w:rPr>
                <w:rFonts w:hint="eastAsia" w:ascii="Times New Roman"/>
                <w:sz w:val="18"/>
                <w:lang w:eastAsia="zh-CN"/>
              </w:rPr>
              <w:t>得到服务对象的满意。</w:t>
            </w:r>
          </w:p>
        </w:tc>
        <w:tc>
          <w:tcPr>
            <w:tcW w:w="5625" w:type="dxa"/>
          </w:tcPr>
          <w:p>
            <w:pPr>
              <w:pStyle w:val="10"/>
              <w:rPr>
                <w:rFonts w:hint="eastAsia" w:ascii="Times New Roman" w:eastAsia="宋体"/>
                <w:sz w:val="18"/>
                <w:lang w:eastAsia="zh-CN"/>
              </w:rPr>
            </w:pPr>
            <w:r>
              <w:rPr>
                <w:rFonts w:hint="eastAsia" w:ascii="Times New Roman"/>
                <w:sz w:val="18"/>
                <w:lang w:eastAsia="zh-CN"/>
              </w:rPr>
              <w:t>养老服务体系建设得到加强，被服务对象十分满意。</w:t>
            </w:r>
          </w:p>
        </w:tc>
        <w:tc>
          <w:tcPr>
            <w:tcW w:w="1590" w:type="dxa"/>
          </w:tcPr>
          <w:p>
            <w:pPr>
              <w:pStyle w:val="10"/>
              <w:rPr>
                <w:rFonts w:ascii="Times New Roman"/>
                <w:sz w:val="18"/>
              </w:rPr>
            </w:pPr>
          </w:p>
        </w:tc>
      </w:tr>
    </w:tbl>
    <w:p>
      <w:pPr>
        <w:rPr>
          <w:rFonts w:ascii="Times New Roman"/>
          <w:sz w:val="18"/>
        </w:rPr>
        <w:sectPr>
          <w:type w:val="continuous"/>
          <w:pgSz w:w="16838" w:h="11911" w:orient="landscape"/>
          <w:pgMar w:top="1480" w:right="1582" w:bottom="1417" w:left="1582" w:header="0" w:footer="1383" w:gutter="0"/>
          <w:cols w:space="0" w:num="1"/>
          <w:formProt w:val="1"/>
        </w:sectPr>
      </w:pPr>
    </w:p>
    <w:p>
      <w:pPr>
        <w:spacing w:before="40"/>
        <w:ind w:left="178"/>
        <w:jc w:val="left"/>
        <w:rPr>
          <w:rFonts w:ascii="Times New Roman" w:hAnsi="Times New Roman" w:eastAsia="仿宋_GB2312" w:cs="Times New Roman"/>
          <w:sz w:val="28"/>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-2</w:t>
      </w:r>
    </w:p>
    <w:p>
      <w:pPr>
        <w:pStyle w:val="4"/>
        <w:spacing w:before="3"/>
        <w:jc w:val="center"/>
        <w:rPr>
          <w:rFonts w:ascii="黑体" w:hAnsi="黑体" w:eastAsia="黑体" w:cs="黑体"/>
          <w:b/>
          <w:bCs/>
        </w:rPr>
      </w:pPr>
      <w:r>
        <w:rPr>
          <w:rFonts w:hint="eastAsia" w:ascii="黑体" w:hAnsi="黑体" w:eastAsia="黑体" w:cs="黑体"/>
          <w:b/>
          <w:bCs/>
        </w:rPr>
        <w:t>养老服务中心运营补贴项目绩效评价问题清单</w:t>
      </w:r>
    </w:p>
    <w:tbl>
      <w:tblPr>
        <w:tblStyle w:val="7"/>
        <w:tblW w:w="13551" w:type="dxa"/>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274"/>
        <w:gridCol w:w="970"/>
        <w:gridCol w:w="2047"/>
        <w:gridCol w:w="3355"/>
        <w:gridCol w:w="3455"/>
        <w:gridCol w:w="14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atLeast"/>
        </w:trPr>
        <w:tc>
          <w:tcPr>
            <w:tcW w:w="2274" w:type="dxa"/>
          </w:tcPr>
          <w:p>
            <w:pPr>
              <w:pStyle w:val="10"/>
              <w:spacing w:before="83"/>
              <w:ind w:left="685"/>
              <w:rPr>
                <w:b/>
                <w:sz w:val="22"/>
              </w:rPr>
            </w:pPr>
            <w:r>
              <w:rPr>
                <w:b/>
                <w:sz w:val="22"/>
              </w:rPr>
              <w:t>问题分类</w:t>
            </w:r>
          </w:p>
        </w:tc>
        <w:tc>
          <w:tcPr>
            <w:tcW w:w="970" w:type="dxa"/>
          </w:tcPr>
          <w:p>
            <w:pPr>
              <w:pStyle w:val="10"/>
              <w:spacing w:before="83"/>
              <w:ind w:left="469" w:right="438"/>
              <w:jc w:val="center"/>
              <w:rPr>
                <w:b/>
                <w:sz w:val="22"/>
              </w:rPr>
            </w:pPr>
            <w:r>
              <w:rPr>
                <w:b/>
                <w:sz w:val="22"/>
              </w:rPr>
              <w:t>序号</w:t>
            </w:r>
          </w:p>
        </w:tc>
        <w:tc>
          <w:tcPr>
            <w:tcW w:w="2047" w:type="dxa"/>
          </w:tcPr>
          <w:p>
            <w:pPr>
              <w:pStyle w:val="10"/>
              <w:spacing w:before="83"/>
              <w:ind w:left="351"/>
              <w:rPr>
                <w:b/>
                <w:sz w:val="22"/>
              </w:rPr>
            </w:pPr>
            <w:r>
              <w:rPr>
                <w:b/>
                <w:sz w:val="22"/>
              </w:rPr>
              <w:t>责任部门（单位）</w:t>
            </w:r>
          </w:p>
        </w:tc>
        <w:tc>
          <w:tcPr>
            <w:tcW w:w="3355" w:type="dxa"/>
          </w:tcPr>
          <w:p>
            <w:pPr>
              <w:pStyle w:val="10"/>
              <w:spacing w:before="83"/>
              <w:ind w:left="1248" w:right="1216"/>
              <w:jc w:val="center"/>
              <w:rPr>
                <w:b/>
                <w:sz w:val="22"/>
              </w:rPr>
            </w:pPr>
            <w:r>
              <w:rPr>
                <w:b/>
                <w:sz w:val="22"/>
              </w:rPr>
              <w:t>问题描述</w:t>
            </w:r>
          </w:p>
        </w:tc>
        <w:tc>
          <w:tcPr>
            <w:tcW w:w="3455" w:type="dxa"/>
          </w:tcPr>
          <w:p>
            <w:pPr>
              <w:pStyle w:val="10"/>
              <w:spacing w:before="83"/>
              <w:ind w:left="1296" w:right="1266"/>
              <w:jc w:val="center"/>
              <w:rPr>
                <w:b/>
                <w:sz w:val="22"/>
              </w:rPr>
            </w:pPr>
            <w:r>
              <w:rPr>
                <w:b/>
                <w:sz w:val="22"/>
              </w:rPr>
              <w:t>整改建议</w:t>
            </w:r>
          </w:p>
        </w:tc>
        <w:tc>
          <w:tcPr>
            <w:tcW w:w="1450" w:type="dxa"/>
          </w:tcPr>
          <w:p>
            <w:pPr>
              <w:pStyle w:val="10"/>
              <w:spacing w:before="83"/>
              <w:ind w:left="510" w:right="478"/>
              <w:jc w:val="center"/>
              <w:rPr>
                <w:b/>
                <w:sz w:val="22"/>
              </w:rPr>
            </w:pPr>
            <w:r>
              <w:rPr>
                <w:b/>
                <w:sz w:val="22"/>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74" w:hRule="atLeast"/>
        </w:trPr>
        <w:tc>
          <w:tcPr>
            <w:tcW w:w="2274" w:type="dxa"/>
          </w:tcPr>
          <w:p>
            <w:pPr>
              <w:pStyle w:val="10"/>
              <w:keepNext/>
              <w:spacing w:line="240" w:lineRule="exact"/>
              <w:rPr>
                <w:sz w:val="20"/>
                <w:szCs w:val="20"/>
              </w:rPr>
            </w:pPr>
            <w:r>
              <w:rPr>
                <w:sz w:val="20"/>
                <w:szCs w:val="20"/>
              </w:rPr>
              <w:t>项目决策存在的问题</w:t>
            </w:r>
          </w:p>
          <w:p>
            <w:pPr>
              <w:pStyle w:val="10"/>
              <w:keepNext/>
              <w:spacing w:line="240" w:lineRule="exact"/>
              <w:rPr>
                <w:sz w:val="20"/>
                <w:szCs w:val="20"/>
              </w:rPr>
            </w:pPr>
            <w:r>
              <w:rPr>
                <w:sz w:val="20"/>
                <w:szCs w:val="20"/>
              </w:rPr>
              <w:t>（</w:t>
            </w:r>
            <w:r>
              <w:rPr>
                <w:rFonts w:hint="eastAsia"/>
                <w:sz w:val="20"/>
                <w:szCs w:val="20"/>
              </w:rPr>
              <w:t>包括项目立项</w:t>
            </w:r>
            <w:r>
              <w:rPr>
                <w:sz w:val="20"/>
                <w:szCs w:val="20"/>
              </w:rPr>
              <w:t>、绩</w:t>
            </w:r>
          </w:p>
          <w:p>
            <w:pPr>
              <w:pStyle w:val="10"/>
              <w:keepNext/>
              <w:spacing w:line="240" w:lineRule="exact"/>
              <w:rPr>
                <w:sz w:val="20"/>
                <w:szCs w:val="20"/>
              </w:rPr>
            </w:pPr>
            <w:r>
              <w:rPr>
                <w:sz w:val="20"/>
                <w:szCs w:val="20"/>
              </w:rPr>
              <w:t>效目标设定、预算编</w:t>
            </w:r>
          </w:p>
          <w:p>
            <w:pPr>
              <w:pStyle w:val="10"/>
              <w:keepNext/>
              <w:spacing w:line="240" w:lineRule="exact"/>
              <w:rPr>
                <w:sz w:val="20"/>
                <w:szCs w:val="20"/>
              </w:rPr>
            </w:pPr>
            <w:r>
              <w:rPr>
                <w:sz w:val="20"/>
                <w:szCs w:val="20"/>
              </w:rPr>
              <w:t>制和资金分配等）</w:t>
            </w:r>
          </w:p>
        </w:tc>
        <w:tc>
          <w:tcPr>
            <w:tcW w:w="970" w:type="dxa"/>
            <w:vAlign w:val="center"/>
          </w:tcPr>
          <w:p>
            <w:pPr>
              <w:pStyle w:val="10"/>
              <w:spacing w:before="82"/>
              <w:ind w:left="34"/>
              <w:jc w:val="center"/>
              <w:rPr>
                <w:b w:val="0"/>
                <w:bCs/>
                <w:sz w:val="22"/>
              </w:rPr>
            </w:pPr>
            <w:r>
              <w:rPr>
                <w:b w:val="0"/>
                <w:bCs/>
                <w:w w:val="99"/>
                <w:sz w:val="22"/>
              </w:rPr>
              <w:t>1</w:t>
            </w:r>
          </w:p>
        </w:tc>
        <w:tc>
          <w:tcPr>
            <w:tcW w:w="2047" w:type="dxa"/>
            <w:vAlign w:val="center"/>
          </w:tcPr>
          <w:p>
            <w:pPr>
              <w:pStyle w:val="10"/>
              <w:jc w:val="center"/>
              <w:rPr>
                <w:rFonts w:hint="eastAsia" w:ascii="Times New Roman" w:eastAsia="宋体"/>
                <w:sz w:val="22"/>
                <w:lang w:eastAsia="zh-CN"/>
              </w:rPr>
            </w:pPr>
            <w:r>
              <w:rPr>
                <w:rFonts w:hint="eastAsia" w:ascii="Times New Roman"/>
                <w:sz w:val="22"/>
                <w:lang w:eastAsia="zh-CN"/>
              </w:rPr>
              <w:t>市民政局养老服务科</w:t>
            </w:r>
          </w:p>
        </w:tc>
        <w:tc>
          <w:tcPr>
            <w:tcW w:w="33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3455" w:type="dxa"/>
            <w:vAlign w:val="center"/>
          </w:tcPr>
          <w:p>
            <w:pPr>
              <w:pStyle w:val="10"/>
              <w:jc w:val="center"/>
              <w:rPr>
                <w:rFonts w:hint="eastAsia" w:ascii="Times New Roman" w:eastAsia="宋体"/>
                <w:sz w:val="22"/>
                <w:lang w:eastAsia="zh-CN"/>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2274" w:type="dxa"/>
          </w:tcPr>
          <w:p>
            <w:pPr>
              <w:pStyle w:val="10"/>
              <w:spacing w:line="240" w:lineRule="exact"/>
              <w:ind w:left="37"/>
              <w:rPr>
                <w:sz w:val="20"/>
                <w:szCs w:val="20"/>
              </w:rPr>
            </w:pPr>
            <w:r>
              <w:rPr>
                <w:sz w:val="20"/>
                <w:szCs w:val="20"/>
              </w:rPr>
              <w:t>资金管理存在的问题</w:t>
            </w:r>
          </w:p>
          <w:p>
            <w:pPr>
              <w:pStyle w:val="10"/>
              <w:spacing w:line="240" w:lineRule="exact"/>
              <w:ind w:left="37"/>
              <w:rPr>
                <w:sz w:val="20"/>
                <w:szCs w:val="20"/>
              </w:rPr>
            </w:pPr>
            <w:r>
              <w:rPr>
                <w:sz w:val="20"/>
                <w:szCs w:val="20"/>
              </w:rPr>
              <w:t>（包括资金到位情况</w:t>
            </w:r>
          </w:p>
          <w:p>
            <w:pPr>
              <w:pStyle w:val="10"/>
              <w:spacing w:line="240" w:lineRule="exact"/>
              <w:ind w:left="37"/>
              <w:rPr>
                <w:sz w:val="20"/>
                <w:szCs w:val="20"/>
              </w:rPr>
            </w:pPr>
            <w:r>
              <w:rPr>
                <w:sz w:val="20"/>
                <w:szCs w:val="20"/>
              </w:rPr>
              <w:t>、预算执行情况和资</w:t>
            </w:r>
          </w:p>
          <w:p>
            <w:pPr>
              <w:pStyle w:val="10"/>
              <w:spacing w:line="240" w:lineRule="exact"/>
              <w:ind w:left="37"/>
              <w:rPr>
                <w:sz w:val="20"/>
                <w:szCs w:val="20"/>
              </w:rPr>
            </w:pPr>
            <w:r>
              <w:rPr>
                <w:sz w:val="20"/>
                <w:szCs w:val="20"/>
              </w:rPr>
              <w:t>金使用合规性等）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4" w:hRule="atLeast"/>
        </w:trPr>
        <w:tc>
          <w:tcPr>
            <w:tcW w:w="2274" w:type="dxa"/>
          </w:tcPr>
          <w:p>
            <w:pPr>
              <w:pStyle w:val="10"/>
              <w:spacing w:line="240" w:lineRule="exact"/>
              <w:ind w:left="37"/>
              <w:rPr>
                <w:sz w:val="20"/>
                <w:szCs w:val="20"/>
              </w:rPr>
            </w:pPr>
            <w:r>
              <w:rPr>
                <w:sz w:val="20"/>
                <w:szCs w:val="20"/>
              </w:rPr>
              <w:t>项目管理存在的问题</w:t>
            </w:r>
          </w:p>
          <w:p>
            <w:pPr>
              <w:pStyle w:val="10"/>
              <w:spacing w:line="240" w:lineRule="exact"/>
              <w:ind w:left="37"/>
              <w:rPr>
                <w:sz w:val="20"/>
                <w:szCs w:val="20"/>
              </w:rPr>
            </w:pPr>
            <w:r>
              <w:rPr>
                <w:sz w:val="20"/>
                <w:szCs w:val="20"/>
              </w:rPr>
              <w:t>（包括项目过程管控</w:t>
            </w:r>
          </w:p>
          <w:p>
            <w:pPr>
              <w:pStyle w:val="10"/>
              <w:spacing w:line="240" w:lineRule="exact"/>
              <w:ind w:left="37"/>
              <w:rPr>
                <w:sz w:val="20"/>
                <w:szCs w:val="20"/>
              </w:rPr>
            </w:pPr>
            <w:r>
              <w:rPr>
                <w:sz w:val="20"/>
                <w:szCs w:val="20"/>
              </w:rPr>
              <w:t>、监督问效、制度建</w:t>
            </w:r>
          </w:p>
          <w:p>
            <w:pPr>
              <w:pStyle w:val="10"/>
              <w:spacing w:line="240" w:lineRule="exact"/>
              <w:ind w:left="37"/>
              <w:rPr>
                <w:sz w:val="20"/>
                <w:szCs w:val="20"/>
              </w:rPr>
            </w:pPr>
            <w:r>
              <w:rPr>
                <w:sz w:val="20"/>
                <w:szCs w:val="20"/>
              </w:rPr>
              <w:t>设及执行情况等）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78" w:hRule="atLeast"/>
        </w:trPr>
        <w:tc>
          <w:tcPr>
            <w:tcW w:w="2274" w:type="dxa"/>
          </w:tcPr>
          <w:p>
            <w:pPr>
              <w:pStyle w:val="10"/>
              <w:spacing w:line="240" w:lineRule="exact"/>
              <w:rPr>
                <w:sz w:val="20"/>
                <w:szCs w:val="20"/>
              </w:rPr>
            </w:pPr>
            <w:r>
              <w:rPr>
                <w:sz w:val="20"/>
                <w:szCs w:val="20"/>
              </w:rPr>
              <w:t>项目产出存在的问题</w:t>
            </w:r>
          </w:p>
          <w:p>
            <w:pPr>
              <w:pStyle w:val="10"/>
              <w:spacing w:line="240" w:lineRule="exact"/>
              <w:rPr>
                <w:sz w:val="20"/>
                <w:szCs w:val="20"/>
              </w:rPr>
            </w:pPr>
            <w:r>
              <w:rPr>
                <w:sz w:val="20"/>
                <w:szCs w:val="20"/>
              </w:rPr>
              <w:t>（包括产出数量、产</w:t>
            </w:r>
          </w:p>
          <w:p>
            <w:pPr>
              <w:pStyle w:val="10"/>
              <w:spacing w:line="240" w:lineRule="exact"/>
              <w:rPr>
                <w:sz w:val="20"/>
                <w:szCs w:val="20"/>
              </w:rPr>
            </w:pPr>
            <w:r>
              <w:rPr>
                <w:sz w:val="20"/>
                <w:szCs w:val="20"/>
              </w:rPr>
              <w:t>出质量、产出时效、</w:t>
            </w:r>
          </w:p>
          <w:p>
            <w:pPr>
              <w:pStyle w:val="10"/>
              <w:spacing w:line="240" w:lineRule="exact"/>
              <w:rPr>
                <w:sz w:val="20"/>
                <w:szCs w:val="20"/>
              </w:rPr>
            </w:pPr>
            <w:r>
              <w:rPr>
                <w:sz w:val="20"/>
                <w:szCs w:val="20"/>
              </w:rPr>
              <w:t>产出成本等）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atLeast"/>
        </w:trPr>
        <w:tc>
          <w:tcPr>
            <w:tcW w:w="2274" w:type="dxa"/>
          </w:tcPr>
          <w:p>
            <w:pPr>
              <w:pStyle w:val="10"/>
              <w:spacing w:line="240" w:lineRule="exact"/>
              <w:ind w:left="37"/>
              <w:rPr>
                <w:sz w:val="20"/>
                <w:szCs w:val="20"/>
              </w:rPr>
            </w:pPr>
            <w:r>
              <w:rPr>
                <w:sz w:val="20"/>
                <w:szCs w:val="20"/>
              </w:rPr>
              <w:t>项目效益存在的问题</w:t>
            </w:r>
          </w:p>
          <w:p>
            <w:pPr>
              <w:pStyle w:val="10"/>
              <w:spacing w:line="240" w:lineRule="exact"/>
              <w:ind w:left="37"/>
              <w:rPr>
                <w:sz w:val="20"/>
                <w:szCs w:val="20"/>
              </w:rPr>
            </w:pPr>
            <w:r>
              <w:rPr>
                <w:sz w:val="20"/>
                <w:szCs w:val="20"/>
              </w:rPr>
              <w:t>（包括经济效益、社</w:t>
            </w:r>
          </w:p>
          <w:p>
            <w:pPr>
              <w:pStyle w:val="10"/>
              <w:spacing w:line="240" w:lineRule="exact"/>
              <w:ind w:left="37"/>
              <w:rPr>
                <w:sz w:val="20"/>
                <w:szCs w:val="20"/>
              </w:rPr>
            </w:pPr>
            <w:r>
              <w:rPr>
                <w:sz w:val="20"/>
                <w:szCs w:val="20"/>
              </w:rPr>
              <w:t>会效益、可持续影响</w:t>
            </w:r>
          </w:p>
          <w:p>
            <w:pPr>
              <w:pStyle w:val="10"/>
              <w:spacing w:line="240" w:lineRule="exact"/>
              <w:ind w:left="37"/>
              <w:rPr>
                <w:sz w:val="20"/>
                <w:szCs w:val="20"/>
              </w:rPr>
            </w:pPr>
            <w:r>
              <w:rPr>
                <w:sz w:val="20"/>
                <w:szCs w:val="20"/>
              </w:rPr>
              <w:t>和满意度等）</w:t>
            </w:r>
          </w:p>
        </w:tc>
        <w:tc>
          <w:tcPr>
            <w:tcW w:w="970" w:type="dxa"/>
            <w:vAlign w:val="center"/>
          </w:tcPr>
          <w:p>
            <w:pPr>
              <w:pStyle w:val="10"/>
              <w:spacing w:before="83"/>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67" w:hRule="atLeast"/>
        </w:trPr>
        <w:tc>
          <w:tcPr>
            <w:tcW w:w="2274" w:type="dxa"/>
          </w:tcPr>
          <w:p>
            <w:pPr>
              <w:pStyle w:val="10"/>
              <w:spacing w:line="240" w:lineRule="exact"/>
              <w:rPr>
                <w:b/>
                <w:sz w:val="22"/>
              </w:rPr>
            </w:pPr>
          </w:p>
          <w:p>
            <w:pPr>
              <w:pStyle w:val="10"/>
              <w:spacing w:before="10" w:line="240" w:lineRule="exact"/>
              <w:rPr>
                <w:b/>
                <w:sz w:val="18"/>
              </w:rPr>
            </w:pPr>
          </w:p>
          <w:p>
            <w:pPr>
              <w:pStyle w:val="10"/>
              <w:spacing w:line="240" w:lineRule="exact"/>
              <w:ind w:left="37"/>
              <w:rPr>
                <w:sz w:val="22"/>
              </w:rPr>
            </w:pPr>
            <w:r>
              <w:rPr>
                <w:sz w:val="20"/>
                <w:szCs w:val="20"/>
              </w:rPr>
              <w:t>其他问题</w:t>
            </w:r>
          </w:p>
        </w:tc>
        <w:tc>
          <w:tcPr>
            <w:tcW w:w="970" w:type="dxa"/>
            <w:vAlign w:val="center"/>
          </w:tcPr>
          <w:p>
            <w:pPr>
              <w:pStyle w:val="10"/>
              <w:spacing w:before="82"/>
              <w:ind w:left="34"/>
              <w:jc w:val="center"/>
              <w:rPr>
                <w:b w:val="0"/>
                <w:bCs/>
                <w:sz w:val="22"/>
              </w:rPr>
            </w:pPr>
            <w:r>
              <w:rPr>
                <w:b w:val="0"/>
                <w:bCs/>
                <w:w w:val="99"/>
                <w:sz w:val="22"/>
              </w:rPr>
              <w:t>1</w:t>
            </w:r>
          </w:p>
        </w:tc>
        <w:tc>
          <w:tcPr>
            <w:tcW w:w="2047" w:type="dxa"/>
            <w:vAlign w:val="center"/>
          </w:tcPr>
          <w:p>
            <w:pPr>
              <w:pStyle w:val="10"/>
              <w:jc w:val="center"/>
              <w:rPr>
                <w:rFonts w:ascii="Times New Roman"/>
                <w:sz w:val="22"/>
              </w:rPr>
            </w:pPr>
            <w:r>
              <w:rPr>
                <w:rFonts w:hint="eastAsia" w:ascii="Times New Roman"/>
                <w:sz w:val="22"/>
                <w:lang w:eastAsia="zh-CN"/>
              </w:rPr>
              <w:t>市民政局养老服务科</w:t>
            </w:r>
          </w:p>
        </w:tc>
        <w:tc>
          <w:tcPr>
            <w:tcW w:w="3355" w:type="dxa"/>
            <w:vAlign w:val="center"/>
          </w:tcPr>
          <w:p>
            <w:pPr>
              <w:pStyle w:val="10"/>
              <w:jc w:val="center"/>
              <w:rPr>
                <w:rFonts w:ascii="Times New Roman"/>
                <w:sz w:val="22"/>
              </w:rPr>
            </w:pPr>
            <w:r>
              <w:rPr>
                <w:rFonts w:hint="eastAsia" w:ascii="Times New Roman"/>
                <w:sz w:val="22"/>
                <w:lang w:eastAsia="zh-CN"/>
              </w:rPr>
              <w:t>无</w:t>
            </w:r>
          </w:p>
        </w:tc>
        <w:tc>
          <w:tcPr>
            <w:tcW w:w="3455" w:type="dxa"/>
            <w:vAlign w:val="center"/>
          </w:tcPr>
          <w:p>
            <w:pPr>
              <w:pStyle w:val="10"/>
              <w:jc w:val="center"/>
              <w:rPr>
                <w:rFonts w:ascii="Times New Roman"/>
                <w:sz w:val="22"/>
              </w:rPr>
            </w:pPr>
            <w:r>
              <w:rPr>
                <w:rFonts w:hint="eastAsia" w:ascii="Times New Roman"/>
                <w:sz w:val="22"/>
                <w:lang w:eastAsia="zh-CN"/>
              </w:rPr>
              <w:t>无</w:t>
            </w:r>
          </w:p>
        </w:tc>
        <w:tc>
          <w:tcPr>
            <w:tcW w:w="1450" w:type="dxa"/>
          </w:tcPr>
          <w:p>
            <w:pPr>
              <w:pStyle w:val="10"/>
              <w:rPr>
                <w:rFonts w:ascii="Times New Roman"/>
                <w:sz w:val="22"/>
              </w:rPr>
            </w:pPr>
          </w:p>
        </w:tc>
      </w:tr>
    </w:tbl>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黑体" w:eastAsia="黑体"/>
          <w:sz w:val="28"/>
        </w:rPr>
      </w:pPr>
    </w:p>
    <w:p>
      <w:pPr>
        <w:spacing w:before="43"/>
        <w:ind w:left="454"/>
        <w:jc w:val="left"/>
        <w:rPr>
          <w:rFonts w:ascii="Times New Roman" w:hAnsi="Times New Roman" w:eastAsia="仿宋_GB2312" w:cs="Times New Roman"/>
          <w:sz w:val="31"/>
        </w:rPr>
      </w:pPr>
      <w:r>
        <w:rPr>
          <w:rFonts w:hint="eastAsia" w:ascii="Times New Roman" w:hAnsi="Times New Roman" w:eastAsia="仿宋_GB2312" w:cs="Times New Roman"/>
          <w:b w:val="0"/>
          <w:bCs w:val="0"/>
          <w:sz w:val="28"/>
        </w:rPr>
        <w:t>附表</w:t>
      </w:r>
      <w:r>
        <w:rPr>
          <w:rFonts w:hint="eastAsia" w:ascii="Times New Roman" w:hAnsi="Times New Roman" w:eastAsia="仿宋_GB2312" w:cs="Times New Roman"/>
          <w:b w:val="0"/>
          <w:bCs w:val="0"/>
          <w:sz w:val="28"/>
          <w:lang w:val="en-US" w:eastAsia="zh-CN"/>
        </w:rPr>
        <w:t>4</w:t>
      </w:r>
      <w:r>
        <w:rPr>
          <w:rFonts w:ascii="Times New Roman" w:hAnsi="Times New Roman" w:eastAsia="仿宋_GB2312" w:cs="Times New Roman"/>
          <w:b w:val="0"/>
          <w:bCs w:val="0"/>
          <w:sz w:val="28"/>
        </w:rPr>
        <w:t>-3</w:t>
      </w:r>
    </w:p>
    <w:p>
      <w:pPr>
        <w:pStyle w:val="3"/>
        <w:spacing w:before="1"/>
        <w:jc w:val="center"/>
        <w:rPr>
          <w:rFonts w:ascii="宋体"/>
          <w:sz w:val="28"/>
        </w:rPr>
      </w:pPr>
      <w:r>
        <w:rPr>
          <w:rFonts w:hint="eastAsia" w:ascii="黑体" w:hAnsi="黑体" w:cs="黑体"/>
        </w:rPr>
        <w:t>养老服务中心运营补贴</w:t>
      </w:r>
      <w:r>
        <w:t>项目绩效评价评分情况表</w:t>
      </w:r>
    </w:p>
    <w:tbl>
      <w:tblPr>
        <w:tblStyle w:val="7"/>
        <w:tblW w:w="13972" w:type="dxa"/>
        <w:tblInd w:w="4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7"/>
        <w:gridCol w:w="1173"/>
        <w:gridCol w:w="1199"/>
        <w:gridCol w:w="1776"/>
        <w:gridCol w:w="2325"/>
        <w:gridCol w:w="4728"/>
        <w:gridCol w:w="992"/>
        <w:gridCol w:w="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ind w:left="179"/>
              <w:jc w:val="center"/>
              <w:rPr>
                <w:b/>
                <w:sz w:val="22"/>
              </w:rPr>
            </w:pPr>
            <w:r>
              <w:rPr>
                <w:b/>
                <w:sz w:val="22"/>
              </w:rPr>
              <w:t>序号</w:t>
            </w:r>
          </w:p>
        </w:tc>
        <w:tc>
          <w:tcPr>
            <w:tcW w:w="1173" w:type="dxa"/>
            <w:vAlign w:val="center"/>
          </w:tcPr>
          <w:p>
            <w:pPr>
              <w:pStyle w:val="10"/>
              <w:spacing w:before="89" w:line="230" w:lineRule="auto"/>
              <w:ind w:left="371" w:right="336"/>
              <w:jc w:val="center"/>
              <w:rPr>
                <w:b/>
                <w:sz w:val="22"/>
              </w:rPr>
            </w:pPr>
            <w:r>
              <w:rPr>
                <w:b/>
                <w:sz w:val="22"/>
              </w:rPr>
              <w:t>一级指标</w:t>
            </w:r>
          </w:p>
        </w:tc>
        <w:tc>
          <w:tcPr>
            <w:tcW w:w="1199" w:type="dxa"/>
            <w:vAlign w:val="center"/>
          </w:tcPr>
          <w:p>
            <w:pPr>
              <w:pStyle w:val="10"/>
              <w:spacing w:before="89" w:line="230" w:lineRule="auto"/>
              <w:ind w:left="386" w:right="347"/>
              <w:jc w:val="center"/>
              <w:rPr>
                <w:b/>
                <w:sz w:val="22"/>
              </w:rPr>
            </w:pPr>
            <w:r>
              <w:rPr>
                <w:b/>
                <w:sz w:val="22"/>
              </w:rPr>
              <w:t>二级指标</w:t>
            </w:r>
          </w:p>
        </w:tc>
        <w:tc>
          <w:tcPr>
            <w:tcW w:w="1776" w:type="dxa"/>
            <w:vAlign w:val="center"/>
          </w:tcPr>
          <w:p>
            <w:pPr>
              <w:pStyle w:val="10"/>
              <w:spacing w:before="89" w:line="230" w:lineRule="auto"/>
              <w:ind w:left="351" w:right="315"/>
              <w:jc w:val="center"/>
              <w:rPr>
                <w:b/>
                <w:sz w:val="22"/>
              </w:rPr>
            </w:pPr>
            <w:r>
              <w:rPr>
                <w:b/>
                <w:sz w:val="22"/>
              </w:rPr>
              <w:t>三级指标</w:t>
            </w:r>
          </w:p>
        </w:tc>
        <w:tc>
          <w:tcPr>
            <w:tcW w:w="2325" w:type="dxa"/>
            <w:vAlign w:val="center"/>
          </w:tcPr>
          <w:p>
            <w:pPr>
              <w:pStyle w:val="10"/>
              <w:spacing w:before="10"/>
              <w:jc w:val="center"/>
              <w:rPr>
                <w:b/>
                <w:sz w:val="16"/>
              </w:rPr>
            </w:pPr>
          </w:p>
          <w:p>
            <w:pPr>
              <w:pStyle w:val="10"/>
              <w:ind w:left="165"/>
              <w:jc w:val="center"/>
              <w:rPr>
                <w:b/>
                <w:sz w:val="22"/>
              </w:rPr>
            </w:pPr>
            <w:r>
              <w:rPr>
                <w:b/>
                <w:sz w:val="22"/>
              </w:rPr>
              <w:t>标准分值</w:t>
            </w:r>
          </w:p>
        </w:tc>
        <w:tc>
          <w:tcPr>
            <w:tcW w:w="4728" w:type="dxa"/>
            <w:vAlign w:val="center"/>
          </w:tcPr>
          <w:p>
            <w:pPr>
              <w:pStyle w:val="10"/>
              <w:ind w:left="165"/>
              <w:jc w:val="center"/>
              <w:rPr>
                <w:b/>
                <w:sz w:val="22"/>
              </w:rPr>
            </w:pPr>
          </w:p>
          <w:p>
            <w:pPr>
              <w:pStyle w:val="10"/>
              <w:ind w:left="165"/>
              <w:jc w:val="center"/>
              <w:rPr>
                <w:b/>
                <w:sz w:val="22"/>
              </w:rPr>
            </w:pPr>
            <w:r>
              <w:rPr>
                <w:b/>
                <w:sz w:val="22"/>
              </w:rPr>
              <w:t>评分情况</w:t>
            </w:r>
          </w:p>
        </w:tc>
        <w:tc>
          <w:tcPr>
            <w:tcW w:w="992" w:type="dxa"/>
            <w:vAlign w:val="center"/>
          </w:tcPr>
          <w:p>
            <w:pPr>
              <w:pStyle w:val="10"/>
              <w:spacing w:before="10"/>
              <w:jc w:val="center"/>
              <w:rPr>
                <w:b/>
                <w:sz w:val="16"/>
              </w:rPr>
            </w:pPr>
          </w:p>
          <w:p>
            <w:pPr>
              <w:pStyle w:val="10"/>
              <w:ind w:left="287"/>
              <w:jc w:val="center"/>
              <w:rPr>
                <w:b/>
                <w:sz w:val="22"/>
              </w:rPr>
            </w:pPr>
            <w:r>
              <w:rPr>
                <w:b/>
                <w:sz w:val="22"/>
              </w:rPr>
              <w:t>得分</w:t>
            </w:r>
          </w:p>
        </w:tc>
        <w:tc>
          <w:tcPr>
            <w:tcW w:w="992" w:type="dxa"/>
            <w:vAlign w:val="center"/>
          </w:tcPr>
          <w:p>
            <w:pPr>
              <w:pStyle w:val="10"/>
              <w:spacing w:before="10"/>
              <w:jc w:val="center"/>
              <w:rPr>
                <w:b/>
                <w:sz w:val="16"/>
              </w:rPr>
            </w:pPr>
          </w:p>
          <w:p>
            <w:pPr>
              <w:pStyle w:val="10"/>
              <w:ind w:left="289"/>
              <w:jc w:val="center"/>
              <w:rPr>
                <w:b/>
                <w:sz w:val="22"/>
              </w:rPr>
            </w:pPr>
            <w:r>
              <w:rPr>
                <w:b/>
                <w:sz w:val="22"/>
              </w:rPr>
              <w:t>扣分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数量指标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城乡养老服务三级中心运营数量</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kern w:val="0"/>
                <w:sz w:val="18"/>
                <w:szCs w:val="18"/>
                <w:lang w:eastAsia="zh-CN"/>
              </w:rPr>
              <w:t>完成养老服务三级中心运营数量</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质量指标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城乡养老服务三级中心覆盖率</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县（区）、镇（街道）、社区覆盖率100%</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产出指标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时效指标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项目建设完成时间</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已按时完成</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58"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效益指标</w:t>
            </w:r>
          </w:p>
        </w:tc>
        <w:tc>
          <w:tcPr>
            <w:tcW w:w="1199"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形成全覆盖的社区居家养老服务供给体系，提升我市老年人居家养老服务的能力。</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社区居家养老服务供给体系全覆盖，提升了我市老年人居家养老服务的能力。</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173" w:type="dxa"/>
            <w:vAlign w:val="center"/>
          </w:tcPr>
          <w:p>
            <w:pPr>
              <w:jc w:val="center"/>
              <w:rPr>
                <w:rFonts w:hint="eastAsia" w:ascii="宋体" w:hAnsi="宋体" w:eastAsia="宋体" w:cs="宋体"/>
                <w:sz w:val="18"/>
                <w:szCs w:val="18"/>
              </w:rPr>
            </w:pPr>
            <w:r>
              <w:rPr>
                <w:rFonts w:hint="eastAsia" w:ascii="宋体" w:hAnsi="宋体" w:eastAsia="宋体" w:cs="宋体"/>
                <w:kern w:val="0"/>
                <w:sz w:val="18"/>
                <w:szCs w:val="18"/>
              </w:rPr>
              <w:t>效益指标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可持续影响指标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得到社会认可和参与程度的影响情况</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社会各界越来越重视养老服务，参与热情较高</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83" w:hRule="atLeast"/>
        </w:trPr>
        <w:tc>
          <w:tcPr>
            <w:tcW w:w="787"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173" w:type="dxa"/>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满意度</w:t>
            </w:r>
          </w:p>
          <w:p>
            <w:pPr>
              <w:pStyle w:val="10"/>
              <w:jc w:val="center"/>
              <w:rPr>
                <w:rFonts w:hint="eastAsia" w:ascii="宋体" w:hAnsi="宋体" w:eastAsia="宋体" w:cs="宋体"/>
                <w:sz w:val="18"/>
                <w:szCs w:val="18"/>
              </w:rPr>
            </w:pPr>
            <w:r>
              <w:rPr>
                <w:rFonts w:hint="eastAsia" w:ascii="宋体" w:hAnsi="宋体" w:eastAsia="宋体" w:cs="宋体"/>
                <w:kern w:val="0"/>
                <w:sz w:val="18"/>
                <w:szCs w:val="18"/>
              </w:rPr>
              <w:t>指标</w:t>
            </w:r>
          </w:p>
        </w:tc>
        <w:tc>
          <w:tcPr>
            <w:tcW w:w="1199"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kern w:val="0"/>
                <w:sz w:val="18"/>
                <w:szCs w:val="18"/>
              </w:rPr>
              <w:t>服务对象满意度指标</w:t>
            </w:r>
          </w:p>
        </w:tc>
        <w:tc>
          <w:tcPr>
            <w:tcW w:w="1776"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加强养老服务体系建设得到了社会的广泛赞誉和支持，十分满意。</w:t>
            </w:r>
          </w:p>
        </w:tc>
        <w:tc>
          <w:tcPr>
            <w:tcW w:w="2325"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4728"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满意度高</w:t>
            </w:r>
          </w:p>
        </w:tc>
        <w:tc>
          <w:tcPr>
            <w:tcW w:w="992" w:type="dxa"/>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8" w:hRule="atLeast"/>
        </w:trPr>
        <w:tc>
          <w:tcPr>
            <w:tcW w:w="4935" w:type="dxa"/>
            <w:gridSpan w:val="4"/>
            <w:vAlign w:val="center"/>
          </w:tcPr>
          <w:p>
            <w:pPr>
              <w:pStyle w:val="10"/>
              <w:spacing w:before="10"/>
              <w:jc w:val="center"/>
              <w:rPr>
                <w:rFonts w:hint="eastAsia" w:ascii="宋体" w:hAnsi="宋体" w:eastAsia="宋体" w:cs="宋体"/>
                <w:b/>
                <w:sz w:val="18"/>
                <w:szCs w:val="18"/>
              </w:rPr>
            </w:pPr>
          </w:p>
          <w:p>
            <w:pPr>
              <w:pStyle w:val="10"/>
              <w:ind w:left="1914" w:right="1875"/>
              <w:jc w:val="center"/>
              <w:rPr>
                <w:rFonts w:hint="eastAsia" w:ascii="宋体" w:hAnsi="宋体" w:eastAsia="宋体" w:cs="宋体"/>
                <w:b/>
                <w:sz w:val="18"/>
                <w:szCs w:val="18"/>
              </w:rPr>
            </w:pPr>
            <w:r>
              <w:rPr>
                <w:rFonts w:hint="eastAsia" w:ascii="宋体" w:hAnsi="宋体" w:eastAsia="宋体" w:cs="宋体"/>
                <w:b/>
                <w:sz w:val="18"/>
                <w:szCs w:val="18"/>
              </w:rPr>
              <w:t>合计</w:t>
            </w:r>
          </w:p>
        </w:tc>
        <w:tc>
          <w:tcPr>
            <w:tcW w:w="2325"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color w:val="000000"/>
                <w:kern w:val="0"/>
                <w:sz w:val="18"/>
                <w:szCs w:val="18"/>
              </w:rPr>
              <w:t>100</w:t>
            </w:r>
          </w:p>
        </w:tc>
        <w:tc>
          <w:tcPr>
            <w:tcW w:w="4728" w:type="dxa"/>
            <w:vAlign w:val="center"/>
          </w:tcPr>
          <w:p>
            <w:pPr>
              <w:pStyle w:val="10"/>
              <w:jc w:val="center"/>
              <w:rPr>
                <w:rFonts w:hint="eastAsia" w:ascii="宋体" w:hAnsi="宋体" w:eastAsia="宋体" w:cs="宋体"/>
                <w:sz w:val="18"/>
                <w:szCs w:val="18"/>
                <w:lang w:eastAsia="zh-CN"/>
              </w:rPr>
            </w:pPr>
            <w:r>
              <w:rPr>
                <w:rFonts w:hint="eastAsia" w:cs="宋体"/>
                <w:sz w:val="18"/>
                <w:szCs w:val="18"/>
                <w:lang w:eastAsia="zh-CN"/>
              </w:rPr>
              <w:t>各项指标均已完成</w:t>
            </w:r>
          </w:p>
        </w:tc>
        <w:tc>
          <w:tcPr>
            <w:tcW w:w="992" w:type="dxa"/>
            <w:vAlign w:val="center"/>
          </w:tcPr>
          <w:p>
            <w:pPr>
              <w:widowControl/>
              <w:spacing w:line="240" w:lineRule="exact"/>
              <w:jc w:val="center"/>
              <w:rPr>
                <w:rFonts w:hint="eastAsia" w:ascii="宋体" w:hAnsi="宋体" w:eastAsia="宋体" w:cs="宋体"/>
                <w:sz w:val="18"/>
                <w:szCs w:val="18"/>
              </w:rPr>
            </w:pPr>
            <w:r>
              <w:rPr>
                <w:rFonts w:hint="eastAsia" w:ascii="宋体" w:hAnsi="宋体" w:eastAsia="宋体" w:cs="宋体"/>
                <w:color w:val="000000"/>
                <w:kern w:val="0"/>
                <w:sz w:val="18"/>
                <w:szCs w:val="18"/>
              </w:rPr>
              <w:t>100</w:t>
            </w:r>
          </w:p>
        </w:tc>
        <w:tc>
          <w:tcPr>
            <w:tcW w:w="992" w:type="dxa"/>
            <w:vAlign w:val="center"/>
          </w:tcPr>
          <w:p>
            <w:pPr>
              <w:pStyle w:val="1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bl>
    <w:p/>
    <w:p>
      <w:pPr>
        <w:rPr>
          <w:rFonts w:hint="eastAsia"/>
        </w:rPr>
      </w:pPr>
    </w:p>
    <w:p>
      <w:pPr>
        <w:keepNext w:val="0"/>
        <w:keepLines w:val="0"/>
        <w:pageBreakBefore w:val="0"/>
        <w:widowControl w:val="0"/>
        <w:kinsoku/>
        <w:wordWrap/>
        <w:overflowPunct/>
        <w:topLinePunct w:val="0"/>
        <w:autoSpaceDE/>
        <w:autoSpaceDN/>
        <w:bidi w:val="0"/>
        <w:adjustRightInd/>
        <w:spacing w:line="560" w:lineRule="exact"/>
        <w:ind w:firstLine="420" w:firstLineChars="20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rPr>
      </w:pPr>
      <w:bookmarkStart w:id="0" w:name="1603附件3.pdf"/>
      <w:bookmarkEnd w:id="0"/>
    </w:p>
    <w:sectPr>
      <w:footerReference r:id="rId4" w:type="default"/>
      <w:pgSz w:w="16838" w:h="11911" w:orient="landscape"/>
      <w:pgMar w:top="1480" w:right="1582" w:bottom="1417" w:left="1582" w:header="0" w:footer="1383" w:gutter="0"/>
      <w:cols w:space="0" w:num="1"/>
      <w:formProt w:val="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B040F8"/>
    <w:multiLevelType w:val="singleLevel"/>
    <w:tmpl w:val="5DB040F8"/>
    <w:lvl w:ilvl="0" w:tentative="0">
      <w:start w:val="2"/>
      <w:numFmt w:val="chineseCounting"/>
      <w:suff w:val="nothing"/>
      <w:lvlText w:val="（%1）"/>
      <w:lvlJc w:val="left"/>
      <w:rPr>
        <w:rFonts w:hint="eastAsia"/>
      </w:rPr>
    </w:lvl>
  </w:abstractNum>
  <w:abstractNum w:abstractNumId="1">
    <w:nsid w:val="607D4365"/>
    <w:multiLevelType w:val="singleLevel"/>
    <w:tmpl w:val="607D4365"/>
    <w:lvl w:ilvl="0" w:tentative="0">
      <w:start w:val="2"/>
      <w:numFmt w:val="chineseCounting"/>
      <w:suff w:val="nothing"/>
      <w:lvlText w:val="%1、"/>
      <w:lvlJc w:val="left"/>
    </w:lvl>
  </w:abstractNum>
  <w:abstractNum w:abstractNumId="2">
    <w:nsid w:val="607D44E2"/>
    <w:multiLevelType w:val="singleLevel"/>
    <w:tmpl w:val="607D44E2"/>
    <w:lvl w:ilvl="0" w:tentative="0">
      <w:start w:val="2"/>
      <w:numFmt w:val="decimal"/>
      <w:suff w:val="nothing"/>
      <w:lvlText w:val="%1、"/>
      <w:lvlJc w:val="left"/>
    </w:lvl>
  </w:abstractNum>
  <w:abstractNum w:abstractNumId="3">
    <w:nsid w:val="607D6494"/>
    <w:multiLevelType w:val="singleLevel"/>
    <w:tmpl w:val="607D6494"/>
    <w:lvl w:ilvl="0" w:tentative="0">
      <w:start w:val="3"/>
      <w:numFmt w:val="chineseCounting"/>
      <w:suff w:val="nothing"/>
      <w:lvlText w:val="（%1）"/>
      <w:lvlJc w:val="left"/>
    </w:lvl>
  </w:abstractNum>
  <w:abstractNum w:abstractNumId="4">
    <w:nsid w:val="607D6534"/>
    <w:multiLevelType w:val="singleLevel"/>
    <w:tmpl w:val="607D6534"/>
    <w:lvl w:ilvl="0" w:tentative="0">
      <w:start w:val="3"/>
      <w:numFmt w:val="chineseCounting"/>
      <w:suff w:val="nothing"/>
      <w:lvlText w:val="%1、"/>
      <w:lvlJc w:val="left"/>
    </w:lvl>
  </w:abstractNum>
  <w:abstractNum w:abstractNumId="5">
    <w:nsid w:val="607E2AC5"/>
    <w:multiLevelType w:val="singleLevel"/>
    <w:tmpl w:val="607E2AC5"/>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DAzOTdlNmI5MjM5NGRkNDJlNmQ3NThiODYxMTgifQ=="/>
  </w:docVars>
  <w:rsids>
    <w:rsidRoot w:val="233A268C"/>
    <w:rsid w:val="1B607906"/>
    <w:rsid w:val="233A268C"/>
    <w:rsid w:val="26E25D29"/>
    <w:rsid w:val="2A050115"/>
    <w:rsid w:val="2AE87872"/>
    <w:rsid w:val="37291C4C"/>
    <w:rsid w:val="443F1E82"/>
    <w:rsid w:val="51223C28"/>
    <w:rsid w:val="54C63781"/>
    <w:rsid w:val="632C7A27"/>
    <w:rsid w:val="77481DB6"/>
    <w:rsid w:val="B92E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right="332"/>
      <w:jc w:val="center"/>
      <w:outlineLvl w:val="0"/>
    </w:pPr>
    <w:rPr>
      <w:rFonts w:ascii="PMingLiU" w:hAnsi="PMingLiU" w:eastAsia="PMingLiU" w:cs="PMingLiU"/>
      <w:sz w:val="44"/>
      <w:szCs w:val="44"/>
      <w:lang w:val="zh-CN" w:bidi="zh-CN"/>
    </w:rPr>
  </w:style>
  <w:style w:type="paragraph" w:styleId="3">
    <w:name w:val="heading 2"/>
    <w:basedOn w:val="1"/>
    <w:next w:val="1"/>
    <w:qFormat/>
    <w:uiPriority w:val="0"/>
    <w:pPr>
      <w:keepNext/>
      <w:keepLines/>
      <w:spacing w:line="413" w:lineRule="auto"/>
      <w:outlineLvl w:val="1"/>
    </w:pPr>
    <w:rPr>
      <w:rFonts w:ascii="Arial" w:hAnsi="Arial" w:eastAsia="黑体" w:cs="Times New Roman"/>
      <w:b/>
      <w:sz w:val="32"/>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_GB2312" w:hAnsi="仿宋_GB2312" w:eastAsia="仿宋_GB2312" w:cs="仿宋_GB2312"/>
      <w:sz w:val="32"/>
      <w:szCs w:val="32"/>
      <w:lang w:val="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ind w:left="266" w:firstLine="640"/>
    </w:pPr>
    <w:rPr>
      <w:rFonts w:ascii="仿宋_GB2312" w:hAnsi="仿宋_GB2312" w:eastAsia="仿宋_GB2312" w:cs="仿宋_GB2312"/>
      <w:lang w:val="zh-CN" w:bidi="zh-CN"/>
    </w:rPr>
  </w:style>
  <w:style w:type="paragraph" w:customStyle="1" w:styleId="10">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3552</Words>
  <Characters>3713</Characters>
  <Lines>0</Lines>
  <Paragraphs>0</Paragraphs>
  <TotalTime>24</TotalTime>
  <ScaleCrop>false</ScaleCrop>
  <LinksUpToDate>false</LinksUpToDate>
  <CharactersWithSpaces>3720</CharactersWithSpaces>
  <Application>WPS Office_11.8.2.1125_F1E327BC-269C-435d-A152-05C5408002CA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2022-03-07T08:28:00Z</dcterms:created>
  <dc:creator>任海洋</dc:creator>
  <cp:lastModifiedBy>user</cp:lastModifiedBy>
  <dcterms:modified xsi:type="dcterms:W3CDTF">2024-05-24T11:03:19Z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2CE2F13603874DEF8B372DB97CA4556E</vt:lpwstr>
  </property>
</Properties>
</file>