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82161">
      <w:pPr>
        <w:jc w:val="center"/>
        <w:rPr>
          <w:rFonts w:hint="eastAsia" w:ascii="宋体" w:hAnsi="宋体"/>
          <w:b/>
          <w:color w:val="auto"/>
          <w:sz w:val="36"/>
          <w:szCs w:val="36"/>
        </w:rPr>
      </w:pPr>
      <w:r>
        <w:rPr>
          <w:rFonts w:hint="eastAsia" w:ascii="宋体" w:hAnsi="宋体"/>
          <w:b/>
          <w:color w:val="auto"/>
          <w:sz w:val="36"/>
          <w:szCs w:val="36"/>
          <w:lang w:eastAsia="zh-CN"/>
        </w:rPr>
        <w:t>淮北市区划地名信息服务中心202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14:paraId="355A67CD">
      <w:pPr>
        <w:jc w:val="center"/>
        <w:rPr>
          <w:rFonts w:hint="eastAsia" w:ascii="楷体_GB2312" w:eastAsia="楷体_GB2312"/>
          <w:color w:val="auto"/>
          <w:szCs w:val="32"/>
        </w:rPr>
      </w:pPr>
    </w:p>
    <w:p w14:paraId="64F76F37">
      <w:pPr>
        <w:jc w:val="center"/>
        <w:rPr>
          <w:rFonts w:hint="eastAsia" w:ascii="楷体_GB2312" w:eastAsia="楷体_GB2312"/>
          <w:color w:val="auto"/>
          <w:szCs w:val="32"/>
        </w:rPr>
      </w:pPr>
    </w:p>
    <w:p w14:paraId="5FF0C967">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14:paraId="1B32AE3A">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4DBF745E">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2041CE49">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7622EDC4">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51CD65B2">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14:paraId="66FD231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95C4994">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14:paraId="102C68C1">
            <w:pPr>
              <w:widowControl/>
              <w:jc w:val="center"/>
              <w:rPr>
                <w:rFonts w:ascii="宋体" w:hAnsi="宋体" w:cs="宋体"/>
                <w:b/>
                <w:bCs/>
                <w:color w:val="auto"/>
                <w:kern w:val="0"/>
                <w:szCs w:val="21"/>
              </w:rPr>
            </w:pPr>
            <w:r>
              <w:rPr>
                <w:rFonts w:hint="eastAsia" w:ascii="宋体" w:hAnsi="宋体" w:cs="宋体"/>
                <w:b/>
                <w:bCs/>
                <w:color w:val="auto"/>
                <w:kern w:val="0"/>
                <w:szCs w:val="21"/>
              </w:rPr>
              <w:t>　</w:t>
            </w:r>
          </w:p>
        </w:tc>
        <w:tc>
          <w:tcPr>
            <w:tcW w:w="2220" w:type="dxa"/>
            <w:tcBorders>
              <w:top w:val="nil"/>
              <w:left w:val="nil"/>
              <w:bottom w:val="single" w:color="auto" w:sz="4" w:space="0"/>
              <w:right w:val="single" w:color="auto" w:sz="4" w:space="0"/>
            </w:tcBorders>
            <w:noWrap w:val="0"/>
            <w:vAlign w:val="center"/>
          </w:tcPr>
          <w:p w14:paraId="3E965143">
            <w:pPr>
              <w:widowControl/>
              <w:jc w:val="center"/>
              <w:rPr>
                <w:rFonts w:ascii="宋体" w:hAnsi="宋体" w:cs="宋体"/>
                <w:b/>
                <w:bCs/>
                <w:color w:val="auto"/>
                <w:kern w:val="0"/>
                <w:szCs w:val="21"/>
              </w:rPr>
            </w:pPr>
            <w:r>
              <w:rPr>
                <w:rFonts w:hint="eastAsia" w:ascii="宋体" w:hAnsi="宋体" w:cs="宋体"/>
                <w:b/>
                <w:bCs/>
                <w:color w:val="auto"/>
                <w:kern w:val="0"/>
                <w:szCs w:val="21"/>
              </w:rPr>
              <w:t>　</w:t>
            </w:r>
          </w:p>
        </w:tc>
      </w:tr>
      <w:tr w14:paraId="663C9A0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CD66E9F">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294A9521">
            <w:pPr>
              <w:widowControl/>
              <w:jc w:val="left"/>
              <w:rPr>
                <w:rFonts w:hint="default" w:ascii="宋体" w:hAnsi="宋体" w:eastAsia="仿宋_GB2312" w:cs="宋体"/>
                <w:color w:val="auto"/>
                <w:kern w:val="0"/>
                <w:szCs w:val="21"/>
                <w:lang w:val="en-US" w:eastAsia="zh-CN"/>
              </w:rPr>
            </w:pPr>
          </w:p>
        </w:tc>
        <w:tc>
          <w:tcPr>
            <w:tcW w:w="2220" w:type="dxa"/>
            <w:tcBorders>
              <w:top w:val="nil"/>
              <w:left w:val="nil"/>
              <w:bottom w:val="single" w:color="auto" w:sz="4" w:space="0"/>
              <w:right w:val="single" w:color="auto" w:sz="4" w:space="0"/>
            </w:tcBorders>
            <w:noWrap w:val="0"/>
            <w:vAlign w:val="bottom"/>
          </w:tcPr>
          <w:p w14:paraId="454CAEC3">
            <w:pPr>
              <w:widowControl/>
              <w:jc w:val="center"/>
              <w:rPr>
                <w:rFonts w:ascii="宋体" w:hAnsi="宋体" w:cs="宋体"/>
                <w:color w:val="auto"/>
                <w:kern w:val="0"/>
                <w:szCs w:val="21"/>
              </w:rPr>
            </w:pPr>
            <w:bookmarkStart w:id="0" w:name="_GoBack"/>
            <w:bookmarkEnd w:id="0"/>
          </w:p>
        </w:tc>
      </w:tr>
      <w:tr w14:paraId="6C39FF4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A71658F">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14:paraId="54C7A58C">
            <w:pPr>
              <w:widowControl/>
              <w:jc w:val="left"/>
              <w:rPr>
                <w:rFonts w:hint="default" w:ascii="宋体" w:hAnsi="宋体" w:eastAsia="仿宋_GB2312" w:cs="宋体"/>
                <w:color w:val="auto"/>
                <w:kern w:val="0"/>
                <w:sz w:val="32"/>
                <w:szCs w:val="21"/>
                <w:lang w:val="en-US" w:eastAsia="zh-CN" w:bidi="ar-SA"/>
              </w:rPr>
            </w:pPr>
            <w:r>
              <w:rPr>
                <w:rFonts w:hint="eastAsia" w:ascii="宋体" w:hAnsi="宋体" w:cs="宋体"/>
                <w:color w:val="auto"/>
                <w:kern w:val="0"/>
                <w:szCs w:val="21"/>
              </w:rPr>
              <w:t>　</w:t>
            </w:r>
            <w:r>
              <w:rPr>
                <w:rFonts w:hint="eastAsia" w:ascii="宋体" w:hAnsi="宋体" w:cs="宋体"/>
                <w:color w:val="auto"/>
                <w:kern w:val="0"/>
                <w:szCs w:val="21"/>
                <w:lang w:val="en-US" w:eastAsia="zh-CN"/>
              </w:rPr>
              <w:t>0.3</w:t>
            </w:r>
          </w:p>
        </w:tc>
        <w:tc>
          <w:tcPr>
            <w:tcW w:w="2220" w:type="dxa"/>
            <w:tcBorders>
              <w:top w:val="nil"/>
              <w:left w:val="nil"/>
              <w:bottom w:val="single" w:color="auto" w:sz="4" w:space="0"/>
              <w:right w:val="single" w:color="auto" w:sz="4" w:space="0"/>
            </w:tcBorders>
            <w:noWrap w:val="0"/>
            <w:vAlign w:val="bottom"/>
          </w:tcPr>
          <w:p w14:paraId="2D04CDCE">
            <w:pPr>
              <w:widowControl/>
              <w:jc w:val="center"/>
              <w:rPr>
                <w:rFonts w:ascii="宋体" w:hAnsi="宋体" w:eastAsia="仿宋_GB2312" w:cs="宋体"/>
                <w:color w:val="auto"/>
                <w:kern w:val="0"/>
                <w:sz w:val="32"/>
                <w:szCs w:val="21"/>
                <w:lang w:val="en-US" w:eastAsia="zh-CN" w:bidi="ar-SA"/>
              </w:rPr>
            </w:pPr>
            <w:r>
              <w:rPr>
                <w:rFonts w:hint="eastAsia" w:ascii="宋体" w:hAnsi="宋体" w:cs="宋体"/>
                <w:color w:val="auto"/>
                <w:kern w:val="0"/>
                <w:szCs w:val="21"/>
                <w:lang w:val="en-US" w:eastAsia="zh-CN"/>
              </w:rPr>
              <w:t>0.18</w:t>
            </w:r>
          </w:p>
        </w:tc>
      </w:tr>
      <w:tr w14:paraId="707E7EA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880D083">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17CA286E">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73769968">
            <w:pPr>
              <w:widowControl/>
              <w:jc w:val="center"/>
              <w:rPr>
                <w:rFonts w:ascii="宋体" w:hAnsi="宋体" w:cs="宋体"/>
                <w:color w:val="auto"/>
                <w:kern w:val="0"/>
                <w:szCs w:val="21"/>
              </w:rPr>
            </w:pPr>
          </w:p>
        </w:tc>
      </w:tr>
      <w:tr w14:paraId="3073B0A0">
        <w:tblPrEx>
          <w:tblCellMar>
            <w:top w:w="0" w:type="dxa"/>
            <w:left w:w="108" w:type="dxa"/>
            <w:bottom w:w="0" w:type="dxa"/>
            <w:right w:w="108" w:type="dxa"/>
          </w:tblCellMar>
        </w:tblPrEx>
        <w:trPr>
          <w:trHeight w:val="584" w:hRule="atLeast"/>
        </w:trPr>
        <w:tc>
          <w:tcPr>
            <w:tcW w:w="4379" w:type="dxa"/>
            <w:tcBorders>
              <w:top w:val="nil"/>
              <w:left w:val="single" w:color="auto" w:sz="4" w:space="0"/>
              <w:bottom w:val="single" w:color="auto" w:sz="4" w:space="0"/>
              <w:right w:val="single" w:color="auto" w:sz="4" w:space="0"/>
            </w:tcBorders>
            <w:noWrap w:val="0"/>
            <w:vAlign w:val="center"/>
          </w:tcPr>
          <w:p w14:paraId="310BB1F5">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3FFC0DFE">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7A627324">
            <w:pPr>
              <w:widowControl/>
              <w:jc w:val="left"/>
              <w:rPr>
                <w:rFonts w:ascii="宋体" w:hAnsi="宋体" w:cs="宋体"/>
                <w:color w:val="auto"/>
                <w:kern w:val="0"/>
                <w:szCs w:val="21"/>
              </w:rPr>
            </w:pPr>
            <w:r>
              <w:rPr>
                <w:rFonts w:hint="eastAsia" w:ascii="宋体" w:hAnsi="宋体" w:cs="宋体"/>
                <w:color w:val="auto"/>
                <w:kern w:val="0"/>
                <w:szCs w:val="21"/>
              </w:rPr>
              <w:t>　</w:t>
            </w:r>
          </w:p>
        </w:tc>
      </w:tr>
      <w:tr w14:paraId="75A54EA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E91B1C4">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14:paraId="00685519">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3C6B7F29">
            <w:pPr>
              <w:widowControl/>
              <w:jc w:val="left"/>
              <w:rPr>
                <w:rFonts w:ascii="宋体" w:hAnsi="宋体" w:cs="宋体"/>
                <w:color w:val="auto"/>
                <w:kern w:val="0"/>
                <w:szCs w:val="21"/>
              </w:rPr>
            </w:pPr>
            <w:r>
              <w:rPr>
                <w:rFonts w:hint="eastAsia" w:ascii="宋体" w:hAnsi="宋体" w:cs="宋体"/>
                <w:color w:val="auto"/>
                <w:kern w:val="0"/>
                <w:szCs w:val="21"/>
              </w:rPr>
              <w:t>　</w:t>
            </w:r>
          </w:p>
        </w:tc>
      </w:tr>
    </w:tbl>
    <w:p w14:paraId="2802426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14:paraId="55F712E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14:paraId="5B6AA0B5">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14:paraId="4E10C7B8">
      <w:pPr>
        <w:ind w:firstLine="628"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14:paraId="6095B092">
      <w:pPr>
        <w:ind w:firstLine="628"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淮北市区划地名信息服务中心2022</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0.3</w:t>
      </w:r>
      <w:r>
        <w:rPr>
          <w:rFonts w:hint="eastAsia" w:ascii="仿宋_GB2312" w:hAnsi="仿宋"/>
          <w:color w:val="auto"/>
          <w:szCs w:val="32"/>
        </w:rPr>
        <w:t>万元，支出决算为</w:t>
      </w:r>
      <w:r>
        <w:rPr>
          <w:rFonts w:hint="eastAsia" w:ascii="仿宋_GB2312" w:hAnsi="仿宋"/>
          <w:color w:val="auto"/>
          <w:szCs w:val="32"/>
          <w:lang w:val="en-US" w:eastAsia="zh-CN"/>
        </w:rPr>
        <w:t>0.18</w:t>
      </w:r>
      <w:r>
        <w:rPr>
          <w:rFonts w:hint="eastAsia" w:ascii="仿宋_GB2312" w:hAnsi="仿宋"/>
          <w:color w:val="auto"/>
          <w:szCs w:val="32"/>
        </w:rPr>
        <w:t>万元，完成预算的</w:t>
      </w:r>
      <w:r>
        <w:rPr>
          <w:rFonts w:hint="eastAsia" w:ascii="仿宋_GB2312" w:hAnsi="仿宋"/>
          <w:color w:val="auto"/>
          <w:szCs w:val="32"/>
          <w:lang w:val="en-US" w:eastAsia="zh-CN"/>
        </w:rPr>
        <w:t>60</w:t>
      </w:r>
      <w:r>
        <w:rPr>
          <w:rFonts w:hint="eastAsia" w:ascii="仿宋_GB2312" w:hAnsi="仿宋"/>
          <w:color w:val="auto"/>
          <w:szCs w:val="32"/>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0.18</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100%。</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2021年受疫情影响，公务接待活动较少，2022年新冠肺炎好转，公务接待活动增加</w:t>
      </w:r>
      <w:r>
        <w:rPr>
          <w:rFonts w:hint="eastAsia" w:ascii="仿宋_GB2312" w:hAnsi="仿宋"/>
          <w:color w:val="auto"/>
          <w:szCs w:val="32"/>
          <w:u w:val="none"/>
        </w:rPr>
        <w:t>。</w:t>
      </w:r>
    </w:p>
    <w:p w14:paraId="319FFB5A">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14:paraId="14BE080D">
      <w:pPr>
        <w:ind w:firstLine="628" w:firstLineChars="200"/>
        <w:rPr>
          <w:rFonts w:hint="eastAsia" w:ascii="仿宋_GB2312" w:hAnsi="仿宋"/>
          <w:color w:val="auto"/>
          <w:szCs w:val="32"/>
        </w:rPr>
      </w:pPr>
      <w:r>
        <w:rPr>
          <w:rFonts w:hint="eastAsia" w:ascii="仿宋_GB2312" w:hAnsi="仿宋"/>
          <w:color w:val="auto"/>
          <w:szCs w:val="32"/>
          <w:lang w:eastAsia="zh-CN"/>
        </w:rPr>
        <w:t>淮北市区划地名信息服务中心202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rPr>
        <w:t>公务接待费支出决算</w:t>
      </w:r>
      <w:r>
        <w:rPr>
          <w:rFonts w:hint="eastAsia" w:ascii="仿宋_GB2312" w:hAnsi="仿宋"/>
          <w:color w:val="auto"/>
          <w:szCs w:val="32"/>
          <w:lang w:val="en-US" w:eastAsia="zh-CN"/>
        </w:rPr>
        <w:t>0.18</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%。具体情况如下：</w:t>
      </w:r>
    </w:p>
    <w:p w14:paraId="25670C4C">
      <w:pPr>
        <w:ind w:firstLine="628" w:firstLineChars="200"/>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维持不变。</w:t>
      </w:r>
      <w:r>
        <w:rPr>
          <w:rFonts w:hint="eastAsia" w:ascii="仿宋_GB2312" w:hAnsi="仿宋"/>
          <w:color w:val="auto"/>
          <w:szCs w:val="32"/>
          <w:u w:val="none"/>
        </w:rPr>
        <w:t>决算数</w:t>
      </w:r>
      <w:r>
        <w:rPr>
          <w:rFonts w:hint="eastAsia" w:ascii="仿宋_GB2312" w:hAnsi="仿宋"/>
          <w:color w:val="auto"/>
          <w:szCs w:val="32"/>
          <w:u w:val="none"/>
          <w:lang w:val="en-US" w:eastAsia="zh-CN"/>
        </w:rPr>
        <w:t>等于</w:t>
      </w:r>
      <w:r>
        <w:rPr>
          <w:rFonts w:hint="eastAsia" w:ascii="仿宋_GB2312" w:hAnsi="仿宋"/>
          <w:color w:val="auto"/>
          <w:szCs w:val="32"/>
          <w:u w:val="none"/>
        </w:rPr>
        <w:t>预算数。</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年淮北市</w:t>
      </w:r>
      <w:r>
        <w:rPr>
          <w:rFonts w:hint="eastAsia" w:ascii="仿宋_GB2312" w:hAnsi="仿宋"/>
          <w:color w:val="auto"/>
          <w:szCs w:val="32"/>
          <w:lang w:eastAsia="zh-CN"/>
        </w:rPr>
        <w:t>区划地名信息服务中心</w:t>
      </w:r>
      <w:r>
        <w:rPr>
          <w:rFonts w:hint="eastAsia" w:ascii="仿宋_GB2312" w:hAnsi="仿宋"/>
          <w:color w:val="auto"/>
          <w:szCs w:val="32"/>
          <w:lang w:val="en-US" w:eastAsia="zh-CN"/>
        </w:rPr>
        <w:t>无</w:t>
      </w:r>
      <w:r>
        <w:rPr>
          <w:rFonts w:hint="eastAsia" w:ascii="仿宋_GB2312" w:hAnsi="仿宋"/>
          <w:color w:val="auto"/>
          <w:szCs w:val="32"/>
        </w:rPr>
        <w:t>因公出国（境）团组，</w:t>
      </w:r>
      <w:r>
        <w:rPr>
          <w:rFonts w:hint="eastAsia" w:ascii="仿宋_GB2312" w:hAnsi="仿宋"/>
          <w:color w:val="auto"/>
          <w:szCs w:val="32"/>
          <w:lang w:val="en-US" w:eastAsia="zh-CN"/>
        </w:rPr>
        <w:t>无</w:t>
      </w:r>
      <w:r>
        <w:rPr>
          <w:rFonts w:hint="eastAsia" w:ascii="仿宋_GB2312" w:hAnsi="仿宋"/>
          <w:color w:val="auto"/>
          <w:szCs w:val="32"/>
        </w:rPr>
        <w:t>累计出国（境）人次。该项经费根据</w:t>
      </w:r>
      <w:r>
        <w:rPr>
          <w:rFonts w:hint="eastAsia" w:ascii="仿宋_GB2312" w:hAnsi="仿宋"/>
          <w:color w:val="auto"/>
          <w:szCs w:val="32"/>
          <w:lang w:val="en-US" w:eastAsia="zh-CN"/>
        </w:rPr>
        <w:t>市</w:t>
      </w:r>
      <w:r>
        <w:rPr>
          <w:rFonts w:hint="eastAsia" w:ascii="仿宋_GB2312" w:hAnsi="仿宋"/>
          <w:color w:val="auto"/>
          <w:szCs w:val="32"/>
        </w:rPr>
        <w:t>外办批准的因公临时出国（境）计划，按照规定标准安排。经费使用严格按照《淮北市财政局 淮北市外事办公室关于转发</w:t>
      </w:r>
      <w:r>
        <w:rPr>
          <w:rFonts w:hint="eastAsia" w:ascii="仿宋_GB2312" w:hAnsi="仿宋"/>
          <w:color w:val="auto"/>
          <w:szCs w:val="32"/>
          <w:lang w:eastAsia="zh-CN"/>
        </w:rPr>
        <w:t>〈</w:t>
      </w:r>
      <w:r>
        <w:rPr>
          <w:rFonts w:hint="eastAsia" w:ascii="仿宋_GB2312" w:hAnsi="仿宋"/>
          <w:color w:val="auto"/>
          <w:szCs w:val="32"/>
        </w:rPr>
        <w:t>安徽省省直党政机关因公临时出国经费管理办法</w:t>
      </w:r>
      <w:r>
        <w:rPr>
          <w:rFonts w:hint="eastAsia" w:ascii="仿宋_GB2312" w:hAnsi="仿宋"/>
          <w:color w:val="auto"/>
          <w:szCs w:val="32"/>
          <w:lang w:eastAsia="zh-CN"/>
        </w:rPr>
        <w:t>〉的通知》</w:t>
      </w:r>
      <w:r>
        <w:rPr>
          <w:rFonts w:hint="eastAsia" w:ascii="仿宋_GB2312" w:hAnsi="仿宋"/>
          <w:color w:val="auto"/>
          <w:szCs w:val="32"/>
        </w:rPr>
        <w:t>（财行〔2014〕327号）、《淮北市财政局淮北市人力资源和社会保障局关于转发</w:t>
      </w:r>
      <w:r>
        <w:rPr>
          <w:rFonts w:hint="eastAsia" w:ascii="仿宋_GB2312" w:hAnsi="仿宋"/>
          <w:color w:val="auto"/>
          <w:szCs w:val="32"/>
          <w:lang w:eastAsia="zh-CN"/>
        </w:rPr>
        <w:t>〈</w:t>
      </w:r>
      <w:r>
        <w:rPr>
          <w:rFonts w:hint="eastAsia" w:ascii="仿宋_GB2312" w:hAnsi="仿宋"/>
          <w:color w:val="auto"/>
          <w:szCs w:val="32"/>
        </w:rPr>
        <w:t>安徽省省直党政机关因公短期出国培训费用管理办法</w:t>
      </w:r>
      <w:r>
        <w:rPr>
          <w:rFonts w:hint="eastAsia" w:ascii="仿宋_GB2312" w:hAnsi="仿宋"/>
          <w:color w:val="auto"/>
          <w:szCs w:val="32"/>
          <w:lang w:eastAsia="zh-CN"/>
        </w:rPr>
        <w:t>〉的通知》</w:t>
      </w:r>
      <w:r>
        <w:rPr>
          <w:rFonts w:hint="eastAsia" w:ascii="仿宋_GB2312" w:hAnsi="仿宋"/>
          <w:color w:val="auto"/>
          <w:szCs w:val="32"/>
        </w:rPr>
        <w:t>（财行〔2015〕293号）等相关规定执行。</w:t>
      </w:r>
    </w:p>
    <w:p w14:paraId="0F5A4CCD">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0.3</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0.18万元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60</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0.18</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100%。</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2021年受疫情影响，公务接待活动较少，2022年新冠肺炎好转，公务接待活动增加</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val="en-US" w:eastAsia="zh-CN"/>
        </w:rPr>
        <w:t>淮北市</w:t>
      </w:r>
      <w:r>
        <w:rPr>
          <w:rFonts w:hint="eastAsia" w:ascii="仿宋_GB2312" w:hAnsi="仿宋"/>
          <w:color w:val="auto"/>
          <w:szCs w:val="32"/>
          <w:lang w:eastAsia="zh-CN"/>
        </w:rPr>
        <w:t>区划地名信息服务中心</w:t>
      </w:r>
      <w:r>
        <w:rPr>
          <w:rFonts w:hint="eastAsia" w:ascii="仿宋_GB2312" w:hAnsi="仿宋"/>
          <w:color w:val="auto"/>
          <w:szCs w:val="32"/>
        </w:rPr>
        <w:t>国内公务接待共</w:t>
      </w:r>
      <w:r>
        <w:rPr>
          <w:rFonts w:hint="eastAsia" w:ascii="仿宋_GB2312" w:hAnsi="仿宋"/>
          <w:color w:val="auto"/>
          <w:szCs w:val="32"/>
          <w:lang w:val="en-US" w:eastAsia="zh-CN"/>
        </w:rPr>
        <w:t>2</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15</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eastAsia" w:ascii="仿宋_GB2312" w:hAnsi="仿宋"/>
          <w:color w:val="auto"/>
          <w:szCs w:val="32"/>
          <w:lang w:val="en-US" w:eastAsia="zh-CN"/>
        </w:rPr>
        <w:t>招商引资等公务接待</w:t>
      </w:r>
      <w:r>
        <w:rPr>
          <w:rFonts w:hint="eastAsia" w:ascii="仿宋_GB2312" w:hAnsi="仿宋"/>
          <w:color w:val="auto"/>
          <w:szCs w:val="32"/>
        </w:rPr>
        <w:t>。经费使用</w:t>
      </w:r>
      <w:r>
        <w:rPr>
          <w:rFonts w:hint="eastAsia" w:ascii="仿宋_GB2312" w:hAnsi="仿宋_GB2312" w:eastAsia="仿宋_GB2312" w:cs="仿宋_GB2312"/>
          <w:sz w:val="32"/>
          <w:szCs w:val="32"/>
          <w:lang w:val="en-US" w:eastAsia="zh-CN"/>
        </w:rPr>
        <w:t>贯彻落实中央八项规定精神</w:t>
      </w:r>
      <w:r>
        <w:rPr>
          <w:rFonts w:hint="eastAsia" w:ascii="仿宋_GB2312" w:hAnsi="仿宋"/>
          <w:color w:val="auto"/>
          <w:szCs w:val="32"/>
        </w:rPr>
        <w:t>和市委实施细则，严格执行《关于印发</w:t>
      </w:r>
      <w:r>
        <w:rPr>
          <w:rFonts w:hint="eastAsia" w:ascii="仿宋_GB2312" w:hAnsi="仿宋"/>
          <w:color w:val="auto"/>
          <w:szCs w:val="32"/>
          <w:lang w:eastAsia="zh-CN"/>
        </w:rPr>
        <w:t>〈</w:t>
      </w:r>
      <w:r>
        <w:rPr>
          <w:rFonts w:hint="eastAsia" w:ascii="仿宋_GB2312" w:hAnsi="仿宋"/>
          <w:color w:val="auto"/>
          <w:szCs w:val="32"/>
        </w:rPr>
        <w:t>淮北市市直单位接待经费管理暂行办法</w:t>
      </w:r>
      <w:r>
        <w:rPr>
          <w:rFonts w:hint="eastAsia" w:ascii="仿宋_GB2312" w:hAnsi="仿宋"/>
          <w:color w:val="auto"/>
          <w:szCs w:val="32"/>
          <w:lang w:eastAsia="zh-CN"/>
        </w:rPr>
        <w:t>〉的通知》</w:t>
      </w:r>
      <w:r>
        <w:rPr>
          <w:rFonts w:hint="eastAsia" w:ascii="仿宋_GB2312" w:hAnsi="仿宋"/>
          <w:color w:val="auto"/>
          <w:szCs w:val="32"/>
        </w:rPr>
        <w:t>（财行〔2013〕133号）、《淮北市财政局淮北市机关事务管理中心关于调整市直机关公务接待费用餐标准的通知》（财行〔2021〕85号）等相关规定。</w:t>
      </w:r>
    </w:p>
    <w:p w14:paraId="2FA64033">
      <w:pPr>
        <w:ind w:firstLine="628" w:firstLineChars="200"/>
        <w:rPr>
          <w:rFonts w:hint="eastAsia" w:ascii="仿宋_GB2312" w:eastAsia="仿宋_GB2312"/>
          <w:color w:val="auto"/>
          <w:sz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 xml:space="preserve">  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较上年减少（增加）</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，下降（增长）</w:t>
      </w:r>
      <w:r>
        <w:rPr>
          <w:rFonts w:hint="eastAsia" w:ascii="仿宋_GB2312" w:hAnsi="仿宋"/>
          <w:color w:val="auto"/>
          <w:szCs w:val="32"/>
          <w:u w:val="none"/>
          <w:lang w:val="en-US" w:eastAsia="zh-CN"/>
        </w:rPr>
        <w:t>0%。</w:t>
      </w:r>
      <w:r>
        <w:rPr>
          <w:rFonts w:hint="eastAsia" w:ascii="仿宋_GB2312" w:hAnsi="仿宋"/>
          <w:color w:val="auto"/>
          <w:szCs w:val="32"/>
          <w:u w:val="none"/>
        </w:rPr>
        <w:t>决算数</w:t>
      </w:r>
      <w:r>
        <w:rPr>
          <w:rFonts w:hint="eastAsia" w:ascii="仿宋_GB2312" w:hAnsi="仿宋"/>
          <w:color w:val="auto"/>
          <w:szCs w:val="32"/>
          <w:u w:val="none"/>
          <w:lang w:val="en-US" w:eastAsia="zh-CN"/>
        </w:rPr>
        <w:t>等于</w:t>
      </w:r>
      <w:r>
        <w:rPr>
          <w:rFonts w:hint="eastAsia" w:ascii="仿宋_GB2312" w:hAnsi="仿宋"/>
          <w:color w:val="auto"/>
          <w:szCs w:val="32"/>
          <w:u w:val="none"/>
        </w:rPr>
        <w:t>预算数。</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较上年减少（增加）</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，下降（增长）</w:t>
      </w:r>
      <w:r>
        <w:rPr>
          <w:rFonts w:hint="eastAsia" w:ascii="仿宋_GB2312" w:hAnsi="仿宋"/>
          <w:color w:val="auto"/>
          <w:szCs w:val="32"/>
          <w:u w:val="none"/>
          <w:lang w:val="en-US" w:eastAsia="zh-CN"/>
        </w:rPr>
        <w:t>0%。</w:t>
      </w:r>
      <w:r>
        <w:rPr>
          <w:rFonts w:hint="eastAsia" w:ascii="仿宋_GB2312" w:hAnsi="仿宋"/>
          <w:color w:val="auto"/>
          <w:szCs w:val="32"/>
          <w:u w:val="none"/>
          <w:lang w:eastAsia="zh-CN"/>
        </w:rPr>
        <w:t>202</w:t>
      </w:r>
      <w:r>
        <w:rPr>
          <w:rFonts w:hint="eastAsia" w:ascii="仿宋_GB2312" w:hAnsi="仿宋"/>
          <w:color w:val="auto"/>
          <w:szCs w:val="32"/>
          <w:u w:val="none"/>
          <w:lang w:val="en-US" w:eastAsia="zh-CN"/>
        </w:rPr>
        <w:t>2</w:t>
      </w:r>
      <w:r>
        <w:rPr>
          <w:rFonts w:hint="eastAsia" w:ascii="仿宋_GB2312" w:hAnsi="仿宋"/>
          <w:color w:val="auto"/>
          <w:szCs w:val="32"/>
          <w:u w:val="none"/>
        </w:rPr>
        <w:t>年没有安排公务用车购置费</w:t>
      </w:r>
      <w:r>
        <w:rPr>
          <w:rFonts w:hint="eastAsia" w:ascii="仿宋_GB2312" w:hAnsi="仿宋"/>
          <w:color w:val="auto"/>
          <w:szCs w:val="32"/>
          <w:u w:val="none"/>
          <w:lang w:eastAsia="zh-CN"/>
        </w:rPr>
        <w:t>。</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u w:val="none"/>
        </w:rPr>
        <w:t>决算数</w:t>
      </w:r>
      <w:r>
        <w:rPr>
          <w:rFonts w:hint="eastAsia" w:ascii="仿宋_GB2312" w:hAnsi="仿宋"/>
          <w:color w:val="auto"/>
          <w:szCs w:val="32"/>
          <w:u w:val="none"/>
          <w:lang w:val="en-US" w:eastAsia="zh-CN"/>
        </w:rPr>
        <w:t>等于</w:t>
      </w:r>
      <w:r>
        <w:rPr>
          <w:rFonts w:hint="eastAsia" w:ascii="仿宋_GB2312" w:hAnsi="仿宋"/>
          <w:color w:val="auto"/>
          <w:szCs w:val="32"/>
          <w:u w:val="none"/>
        </w:rPr>
        <w:t>预算数。</w:t>
      </w:r>
      <w:r>
        <w:rPr>
          <w:rFonts w:hint="eastAsia" w:ascii="仿宋_GB2312" w:hAnsi="仿宋"/>
          <w:color w:val="auto"/>
          <w:szCs w:val="32"/>
          <w:u w:val="none"/>
          <w:lang w:val="en-US" w:eastAsia="zh-CN"/>
        </w:rPr>
        <w:t>无</w:t>
      </w:r>
      <w:r>
        <w:rPr>
          <w:rFonts w:hint="eastAsia" w:ascii="仿宋_GB2312" w:hAnsi="仿宋"/>
          <w:color w:val="auto"/>
          <w:szCs w:val="32"/>
        </w:rPr>
        <w:t>公务用车运行维护费，包括车辆燃料费、维修费、过路过桥费、保险费等支出</w:t>
      </w:r>
      <w:r>
        <w:rPr>
          <w:rFonts w:hint="eastAsia" w:ascii="仿宋_GB2312" w:hAnsi="仿宋"/>
          <w:color w:val="auto"/>
          <w:szCs w:val="32"/>
          <w:lang w:eastAsia="zh-CN"/>
        </w:rPr>
        <w:t>。</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年12月31日，</w:t>
      </w:r>
      <w:r>
        <w:rPr>
          <w:rFonts w:hint="eastAsia" w:ascii="仿宋_GB2312" w:hAnsi="仿宋"/>
          <w:color w:val="auto"/>
          <w:szCs w:val="32"/>
          <w:lang w:val="en-US" w:eastAsia="zh-CN"/>
        </w:rPr>
        <w:t>淮北市</w:t>
      </w:r>
      <w:r>
        <w:rPr>
          <w:rFonts w:hint="eastAsia" w:ascii="仿宋_GB2312" w:hAnsi="仿宋"/>
          <w:color w:val="auto"/>
          <w:szCs w:val="32"/>
          <w:lang w:eastAsia="zh-CN"/>
        </w:rPr>
        <w:t>区划地名信息服务中心</w:t>
      </w:r>
      <w:r>
        <w:rPr>
          <w:rFonts w:hint="eastAsia" w:ascii="仿宋_GB2312" w:hAnsi="仿宋"/>
          <w:color w:val="auto"/>
          <w:szCs w:val="32"/>
        </w:rPr>
        <w:t>开支财政拨款的公务用车保有量为</w:t>
      </w:r>
      <w:r>
        <w:rPr>
          <w:rFonts w:hint="eastAsia" w:ascii="仿宋_GB2312" w:hAnsi="仿宋"/>
          <w:color w:val="auto"/>
          <w:szCs w:val="32"/>
          <w:lang w:eastAsia="zh-CN"/>
        </w:rPr>
        <w:t>0</w:t>
      </w:r>
      <w:r>
        <w:rPr>
          <w:rFonts w:hint="eastAsia" w:ascii="仿宋_GB2312" w:hAnsi="仿宋"/>
          <w:color w:val="auto"/>
          <w:szCs w:val="32"/>
        </w:rPr>
        <w:t>辆。</w:t>
      </w:r>
    </w:p>
    <w:p w14:paraId="18672C07">
      <w:pPr>
        <w:pStyle w:val="2"/>
        <w:jc w:val="both"/>
        <w:rPr>
          <w:rFonts w:hint="eastAsia"/>
          <w:color w:val="auto"/>
        </w:rPr>
      </w:pPr>
    </w:p>
    <w:p w14:paraId="3846B200"/>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86038">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5959D482">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35C8F">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5569BAF6">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jAxZWVmMjg0M2FjNmVhMzVkM2EyOWZlNGEyYjYifQ=="/>
  </w:docVars>
  <w:rsids>
    <w:rsidRoot w:val="64E22923"/>
    <w:rsid w:val="0A4422AF"/>
    <w:rsid w:val="0C566AD6"/>
    <w:rsid w:val="0DD04666"/>
    <w:rsid w:val="12C81E5A"/>
    <w:rsid w:val="18D3295E"/>
    <w:rsid w:val="23FF0EF4"/>
    <w:rsid w:val="3A192D6D"/>
    <w:rsid w:val="5EC22200"/>
    <w:rsid w:val="613839F8"/>
    <w:rsid w:val="64E22923"/>
    <w:rsid w:val="6CCD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1375</Words>
  <Characters>1486</Characters>
  <Lines>0</Lines>
  <Paragraphs>0</Paragraphs>
  <TotalTime>0</TotalTime>
  <ScaleCrop>false</ScaleCrop>
  <LinksUpToDate>false</LinksUpToDate>
  <CharactersWithSpaces>1562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2023-09-22T05:23:00Z</dcterms:created>
  <dc:creator>水兔子</dc:creator>
  <cp:lastModifiedBy>水兔子</cp:lastModifiedBy>
  <dcterms:modified xsi:type="dcterms:W3CDTF">2025-08-18T04:35:48Z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88D3E33DDBC4485094BADD23032208F2_11</vt:lpwstr>
  </property>
  <property fmtid="{D5CDD505-2E9C-101B-9397-08002B2CF9AE}" pid="4" name="KSOTemplateDocerSaveRecord">
    <vt:lpwstr>eyJoZGlkIjoiZDBkMzI0YjZjZjY2MDFlOGUxYzViMTI2NmJkNDc4ODEiLCJ1c2VySWQiOiIxMTAyODY0MzM2In0=</vt:lpwstr>
  </property>
</Properties>
</file>